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附件一北京地坛医院</w:t>
      </w:r>
      <w:r>
        <w:rPr>
          <w:rFonts w:hint="eastAsia"/>
          <w:sz w:val="32"/>
          <w:szCs w:val="32"/>
          <w:lang w:val="zh-CN"/>
        </w:rPr>
        <w:t>手术麻醉信息管理系统</w:t>
      </w:r>
      <w:r>
        <w:rPr>
          <w:rFonts w:hint="eastAsia"/>
          <w:sz w:val="32"/>
          <w:szCs w:val="32"/>
        </w:rPr>
        <w:t>项目市场需求调研分析表</w:t>
      </w:r>
    </w:p>
    <w:tbl>
      <w:tblPr>
        <w:tblStyle w:val="3"/>
        <w:tblpPr w:leftFromText="180" w:rightFromText="180" w:vertAnchor="text" w:horzAnchor="margin" w:tblpY="297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823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55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分类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ind w:firstLine="240" w:firstLineChars="100"/>
              <w:rPr>
                <w:rFonts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北京地坛医院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手术麻醉信息管理系统</w:t>
            </w:r>
            <w:r>
              <w:rPr>
                <w:rFonts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322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14:ligatures w14:val="none"/>
              </w:rPr>
              <w:t>供应商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  <w14:ligatures w14:val="none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5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商务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公司基本情况</w:t>
            </w:r>
          </w:p>
        </w:tc>
        <w:tc>
          <w:tcPr>
            <w:tcW w:w="322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2553" w:type="dxa"/>
            <w:vMerge w:val="restart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产品</w:t>
            </w:r>
          </w:p>
        </w:tc>
        <w:tc>
          <w:tcPr>
            <w:tcW w:w="2823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产品功能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3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4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6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7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  <w:t>8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9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  <w:t>0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3" w:type="dxa"/>
            <w:vMerge w:val="continue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产品延伸、优势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数字化转型，实现办公现代化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5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案例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典型案例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>
            <w:pPr>
              <w:spacing w:after="0" w:line="24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3" w:type="dxa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  <w14:ligatures w14:val="none"/>
              </w:rPr>
              <w:t>产品上线后技术维护方案</w:t>
            </w:r>
          </w:p>
        </w:tc>
        <w:tc>
          <w:tcPr>
            <w:tcW w:w="6045" w:type="dxa"/>
            <w:gridSpan w:val="2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vMerge w:val="restart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</w:p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技术优势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架构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vMerge w:val="continue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数据库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vMerge w:val="continue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访问方式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3" w:type="dxa"/>
            <w:vMerge w:val="restart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服务</w:t>
            </w:r>
            <w:bookmarkStart w:id="0" w:name="_GoBack"/>
            <w:bookmarkEnd w:id="0"/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服务方式</w:t>
            </w:r>
          </w:p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（响应时间）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14:ligatures w14:val="none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53" w:type="dxa"/>
            <w:vMerge w:val="continue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运维费用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14:ligatures w14:val="none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  <w:t xml:space="preserve">  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14:ligatures w14:val="none"/>
              </w:rPr>
              <w:t>-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  <w:t>8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3" w:type="dxa"/>
          </w:tcPr>
          <w:p>
            <w:pPr>
              <w:spacing w:after="0" w:line="240" w:lineRule="auto"/>
              <w:rPr>
                <w:rFonts w:hint="eastAsia"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14:ligatures w14:val="none"/>
              </w:rPr>
              <w:t>报价（万元）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b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仿宋" w:hAnsi="仿宋" w:eastAsia="仿宋" w:cs="Times New Roman"/>
                <w:kern w:val="0"/>
                <w:sz w:val="24"/>
                <w:szCs w:val="20"/>
                <w14:ligatures w14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ZWE4ZmI0MDIwZTEzYzFmMDc0MmYxYzBmNTgxNmUifQ=="/>
  </w:docVars>
  <w:rsids>
    <w:rsidRoot w:val="36B311C5"/>
    <w:rsid w:val="07925D6D"/>
    <w:rsid w:val="28773C05"/>
    <w:rsid w:val="36B311C5"/>
    <w:rsid w:val="39D57E7A"/>
    <w:rsid w:val="55F55F0F"/>
    <w:rsid w:val="6FD9163A"/>
    <w:rsid w:val="7CA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2024-03-08T01:49:00Z</dcterms:created>
  <dc:creator>dell</dc:creator>
  <cp:lastModifiedBy>dell</cp:lastModifiedBy>
  <dcterms:modified xsi:type="dcterms:W3CDTF">2024-04-11T02:15:21Z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A504272C161C45809DD87059B93443BF_11</vt:lpwstr>
  </property>
</Properties>
</file>