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BA" w:rsidRDefault="00C54ABA">
      <w:pPr>
        <w:pStyle w:val="a5"/>
        <w:widowControl/>
        <w:spacing w:beforeAutospacing="0" w:afterAutospacing="0"/>
        <w:rPr>
          <w:rStyle w:val="a6"/>
          <w:rFonts w:hint="eastAsia"/>
        </w:rPr>
      </w:pPr>
    </w:p>
    <w:p w:rsidR="00D23D61" w:rsidRDefault="00F949A5" w:rsidP="00D23D61">
      <w:pPr>
        <w:pStyle w:val="a5"/>
        <w:widowControl/>
        <w:spacing w:beforeAutospacing="0" w:afterAutospacing="0"/>
        <w:ind w:firstLine="340"/>
        <w:jc w:val="center"/>
        <w:rPr>
          <w:rFonts w:ascii="黑体" w:eastAsia="黑体" w:hAnsi="宋体" w:cs="宋体"/>
          <w:b/>
          <w:bCs/>
          <w:color w:val="000000"/>
          <w:spacing w:val="10"/>
          <w:sz w:val="36"/>
          <w:szCs w:val="36"/>
        </w:rPr>
      </w:pPr>
      <w:r w:rsidRPr="00D23D61">
        <w:rPr>
          <w:rFonts w:ascii="黑体" w:eastAsia="黑体" w:hAnsi="宋体" w:cs="宋体" w:hint="eastAsia"/>
          <w:b/>
          <w:bCs/>
          <w:color w:val="000000"/>
          <w:spacing w:val="10"/>
          <w:sz w:val="36"/>
          <w:szCs w:val="36"/>
        </w:rPr>
        <w:t>首都医科大学附属北京地坛医院</w:t>
      </w:r>
    </w:p>
    <w:p w:rsidR="00C54ABA" w:rsidRPr="00D23D61" w:rsidRDefault="00F949A5" w:rsidP="00D23D61">
      <w:pPr>
        <w:pStyle w:val="a5"/>
        <w:widowControl/>
        <w:spacing w:beforeAutospacing="0" w:afterAutospacing="0"/>
        <w:ind w:firstLine="340"/>
        <w:jc w:val="center"/>
        <w:rPr>
          <w:rFonts w:ascii="黑体" w:eastAsia="黑体" w:hAnsi="宋体" w:cs="宋体"/>
          <w:b/>
          <w:bCs/>
          <w:color w:val="000000"/>
          <w:spacing w:val="10"/>
          <w:sz w:val="36"/>
          <w:szCs w:val="36"/>
        </w:rPr>
      </w:pPr>
      <w:r w:rsidRPr="00D23D61">
        <w:rPr>
          <w:rFonts w:ascii="黑体" w:eastAsia="黑体" w:hAnsi="宋体" w:cs="宋体" w:hint="eastAsia"/>
          <w:b/>
          <w:bCs/>
          <w:color w:val="000000"/>
          <w:spacing w:val="10"/>
          <w:sz w:val="36"/>
          <w:szCs w:val="36"/>
        </w:rPr>
        <w:t>肿瘤内科</w:t>
      </w:r>
      <w:r w:rsidR="00D23D61">
        <w:rPr>
          <w:rFonts w:ascii="黑体" w:eastAsia="黑体" w:hAnsi="宋体" w:cs="宋体" w:hint="eastAsia"/>
          <w:b/>
          <w:bCs/>
          <w:color w:val="000000"/>
          <w:spacing w:val="10"/>
          <w:sz w:val="36"/>
          <w:szCs w:val="36"/>
        </w:rPr>
        <w:t>招生简章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肿瘤内科立足恶性肿瘤合并感染性疾病的诊治，在遵循相关指南或循证证据基础上，不断开展或研究新方案、新技术、新方法，科室不断发展、壮大，在肿瘤诊治方面形成了独特优势，在社会上享有较好声誉。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目前床位44张，医生14名，其中主任医师2人，副主任医师3人，博士5人。主要开展</w:t>
      </w:r>
      <w:r w:rsidR="001111A5"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有特色的肿瘤综合诊治，其中包括</w:t>
      </w: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：</w:t>
      </w:r>
    </w:p>
    <w:p w:rsidR="00C54ABA" w:rsidRPr="00D23D61" w:rsidRDefault="00F949A5">
      <w:pPr>
        <w:pStyle w:val="a5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肝癌的射频或微波消融，尤其疑难或高危部位肝癌一次性完全消融、大肝癌分次完全消融和肝癌伴门脉I型或II型癌栓的消融；</w:t>
      </w:r>
    </w:p>
    <w:p w:rsidR="00C54ABA" w:rsidRPr="00D23D61" w:rsidRDefault="00F949A5">
      <w:pPr>
        <w:pStyle w:val="a5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合并艾滋病、乙肝、丙肝等传染病</w:t>
      </w:r>
      <w:r w:rsidR="00D4007B"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的恶性</w:t>
      </w: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肿瘤</w:t>
      </w:r>
      <w:r w:rsidR="00D4007B"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（包括实体肿瘤和淋巴瘤等）</w:t>
      </w: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的化疗、靶向治疗或免疫治疗；</w:t>
      </w:r>
    </w:p>
    <w:p w:rsidR="00C54ABA" w:rsidRPr="00D23D61" w:rsidRDefault="00F949A5">
      <w:pPr>
        <w:pStyle w:val="a5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合并艾滋病等传染病</w:t>
      </w:r>
      <w:r w:rsidR="00D4007B"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的</w:t>
      </w:r>
      <w:bookmarkStart w:id="0" w:name="_GoBack"/>
      <w:bookmarkEnd w:id="0"/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肿瘤（包括肝、肺等）的穿刺活检及同时根治消融；</w:t>
      </w:r>
    </w:p>
    <w:p w:rsidR="00C54ABA" w:rsidRPr="00D23D61" w:rsidRDefault="001111A5">
      <w:pPr>
        <w:pStyle w:val="a5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靶向治疗、化疗与危重症阴暗肝病等诊疗。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科室成员在《Clinical Cancer Research》、《Cancer》、《</w:t>
      </w:r>
      <w:hyperlink r:id="rId7" w:tgtFrame="https://www.baidu.com/_blank" w:history="1">
        <w:r w:rsidRPr="00D23D61">
          <w:rPr>
            <w:rFonts w:asciiTheme="majorEastAsia" w:eastAsiaTheme="majorEastAsia" w:hAnsiTheme="majorEastAsia" w:cstheme="minorEastAsia" w:hint="eastAsia"/>
            <w:color w:val="000000"/>
            <w:spacing w:val="10"/>
          </w:rPr>
          <w:t>Frontiers in Pharmacology</w:t>
        </w:r>
      </w:hyperlink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》、《</w:t>
      </w:r>
      <w:hyperlink r:id="rId8" w:tgtFrame="https://www.baidu.com/_blank" w:history="1">
        <w:r w:rsidRPr="00D23D61">
          <w:rPr>
            <w:rFonts w:asciiTheme="majorEastAsia" w:eastAsiaTheme="majorEastAsia" w:hAnsiTheme="majorEastAsia" w:cstheme="minorEastAsia" w:hint="eastAsia"/>
            <w:color w:val="000000"/>
            <w:spacing w:val="10"/>
          </w:rPr>
          <w:t>Frontiers in Oncology</w:t>
        </w:r>
      </w:hyperlink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》《Biomolecules》、《Cancer Immunology Immunotherapy》等发表多篇高水平SCI文章。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科室承担并完成</w:t>
      </w:r>
      <w:r w:rsidR="001111A5"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国家级项目十三五子课题</w:t>
      </w: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任务1项、省部级课题3项，首发基金2项。主编《感染性疾病合并肿瘤病例解析》或参编多部著作。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520"/>
        <w:jc w:val="both"/>
        <w:rPr>
          <w:rFonts w:asciiTheme="majorEastAsia" w:eastAsiaTheme="majorEastAsia" w:hAnsiTheme="majorEastAsia" w:cstheme="minorEastAsia"/>
          <w:color w:val="000000"/>
          <w:spacing w:val="1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  <w:spacing w:val="10"/>
        </w:rPr>
        <w:t>科室承担北京大学医学部或首都医科大学本科生的教学任务，带教积极、认真、负责。作为国家肿瘤消融治疗技术培训基地，接受并完成数名进修医师的培训考核。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Style w:val="a6"/>
          <w:rFonts w:asciiTheme="majorEastAsia" w:eastAsiaTheme="majorEastAsia" w:hAnsiTheme="majorEastAsia" w:cstheme="minorEastAsia" w:hint="eastAsia"/>
        </w:rPr>
        <w:t>进修医师招收对象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480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大学本科及以上学历（西部边远地区可适当放宽），需获得执业医师执照，工作时间3年以上，进修培训时间至少6个月，期满合格可发放证书。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rPr>
          <w:rStyle w:val="a6"/>
          <w:rFonts w:asciiTheme="majorEastAsia" w:eastAsiaTheme="majorEastAsia" w:hAnsiTheme="majorEastAsia" w:cstheme="minorEastAsia"/>
          <w:bCs/>
          <w:color w:val="000000" w:themeColor="text1"/>
          <w:spacing w:val="10"/>
        </w:rPr>
      </w:pPr>
      <w:r w:rsidRPr="00D23D61">
        <w:rPr>
          <w:rStyle w:val="a6"/>
          <w:rFonts w:asciiTheme="majorEastAsia" w:eastAsiaTheme="majorEastAsia" w:hAnsiTheme="majorEastAsia" w:cstheme="minorEastAsia" w:hint="eastAsia"/>
          <w:bCs/>
          <w:color w:val="000000" w:themeColor="text1"/>
          <w:spacing w:val="10"/>
        </w:rPr>
        <w:t>进修医师培训计划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480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我科制定了完善的工作学习计划，实行一对一带教：</w:t>
      </w:r>
    </w:p>
    <w:p w:rsidR="00C54ABA" w:rsidRPr="00D23D61" w:rsidRDefault="00F949A5">
      <w:pPr>
        <w:pStyle w:val="a5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实施导师制，科主任及核心骨干亲自带教，更多实操，尽快成长；</w:t>
      </w:r>
    </w:p>
    <w:p w:rsidR="00C54ABA" w:rsidRPr="00D23D61" w:rsidRDefault="00F949A5">
      <w:pPr>
        <w:pStyle w:val="a5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lastRenderedPageBreak/>
        <w:t>临床操作培训，包括肝肺穿刺活检、消融等；</w:t>
      </w:r>
    </w:p>
    <w:p w:rsidR="00C54ABA" w:rsidRPr="00D23D61" w:rsidRDefault="00F949A5">
      <w:pPr>
        <w:pStyle w:val="a5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合并艾滋病等传染病肿瘤靶免化治疗系统培训；</w:t>
      </w:r>
    </w:p>
    <w:p w:rsidR="00C54ABA" w:rsidRPr="00D23D61" w:rsidRDefault="00F949A5">
      <w:pPr>
        <w:pStyle w:val="a5"/>
        <w:widowControl/>
        <w:numPr>
          <w:ilvl w:val="0"/>
          <w:numId w:val="2"/>
        </w:numPr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对有科研或文章需求的进修医师，进修培训期间（6个月）指导完成综述1篇，进修培训一年以上者，指导完成论著1篇。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</w:rPr>
      </w:pPr>
      <w:r w:rsidRPr="00D23D61">
        <w:rPr>
          <w:rFonts w:asciiTheme="majorEastAsia" w:eastAsiaTheme="majorEastAsia" w:hAnsiTheme="majorEastAsia" w:cstheme="minorEastAsia" w:hint="eastAsia"/>
        </w:rPr>
        <w:t>5、为提高培训效果和成绩，进修培训期间科室支持参加各类全国性、地方学术活动和专项培训班。</w:t>
      </w:r>
    </w:p>
    <w:p w:rsidR="00C54ABA" w:rsidRPr="00D23D61" w:rsidRDefault="00F949A5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  <w:color w:val="000000"/>
        </w:rPr>
      </w:pPr>
      <w:r w:rsidRPr="00D23D61">
        <w:rPr>
          <w:rStyle w:val="a6"/>
          <w:rFonts w:asciiTheme="majorEastAsia" w:eastAsiaTheme="majorEastAsia" w:hAnsiTheme="majorEastAsia" w:cstheme="minorEastAsia" w:hint="eastAsia"/>
          <w:color w:val="000000" w:themeColor="text1"/>
          <w:spacing w:val="10"/>
        </w:rPr>
        <w:t>进修</w:t>
      </w:r>
      <w:r w:rsidRPr="00D23D61">
        <w:rPr>
          <w:rStyle w:val="a6"/>
          <w:rFonts w:hint="eastAsia"/>
          <w:color w:val="000000" w:themeColor="text1"/>
          <w:spacing w:val="10"/>
        </w:rPr>
        <w:t>咨询电话</w:t>
      </w:r>
    </w:p>
    <w:p w:rsidR="00C54ABA" w:rsidRPr="00D23D61" w:rsidRDefault="00F949A5" w:rsidP="00D23D61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  <w:color w:val="00000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</w:rPr>
        <w:t>科室：010-84322470</w:t>
      </w:r>
    </w:p>
    <w:p w:rsidR="00C54ABA" w:rsidRPr="00D23D61" w:rsidRDefault="00F949A5" w:rsidP="00D23D61">
      <w:pPr>
        <w:pStyle w:val="a5"/>
        <w:widowControl/>
        <w:adjustRightInd w:val="0"/>
        <w:snapToGrid w:val="0"/>
        <w:spacing w:beforeAutospacing="0" w:afterAutospacing="0" w:line="360" w:lineRule="auto"/>
        <w:rPr>
          <w:rFonts w:asciiTheme="majorEastAsia" w:eastAsiaTheme="majorEastAsia" w:hAnsiTheme="majorEastAsia" w:cstheme="minorEastAsia"/>
          <w:color w:val="000000"/>
        </w:rPr>
      </w:pPr>
      <w:r w:rsidRPr="00D23D61">
        <w:rPr>
          <w:rFonts w:asciiTheme="majorEastAsia" w:eastAsiaTheme="majorEastAsia" w:hAnsiTheme="majorEastAsia" w:cstheme="minorEastAsia" w:hint="eastAsia"/>
          <w:color w:val="000000"/>
        </w:rPr>
        <w:t>科室联系老师：13718973845（李文东）</w:t>
      </w:r>
    </w:p>
    <w:p w:rsidR="00C54ABA" w:rsidRDefault="00C54ABA">
      <w:pPr>
        <w:adjustRightInd w:val="0"/>
        <w:snapToGrid w:val="0"/>
        <w:spacing w:line="360" w:lineRule="auto"/>
        <w:rPr>
          <w:rFonts w:asciiTheme="minorEastAsia" w:hAnsiTheme="minorEastAsia" w:cstheme="minorEastAsia" w:hint="eastAsia"/>
          <w:sz w:val="24"/>
        </w:rPr>
      </w:pPr>
    </w:p>
    <w:p w:rsidR="001E739A" w:rsidRDefault="001E739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drawing>
          <wp:inline distT="0" distB="0" distL="0" distR="0">
            <wp:extent cx="5274310" cy="2866843"/>
            <wp:effectExtent l="19050" t="0" r="2540" b="0"/>
            <wp:docPr id="1" name="图片 1" descr="C:\DOCUME~1\ADMINI~1\LOCALS~1\Temp\WeChat Files\c2b687a0e2dab01efe3dd403349a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c2b687a0e2dab01efe3dd403349a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39A" w:rsidSect="00471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49" w:rsidRDefault="00603B49">
      <w:r>
        <w:separator/>
      </w:r>
    </w:p>
  </w:endnote>
  <w:endnote w:type="continuationSeparator" w:id="1">
    <w:p w:rsidR="00603B49" w:rsidRDefault="0060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49" w:rsidRDefault="00603B49">
      <w:r>
        <w:separator/>
      </w:r>
    </w:p>
  </w:footnote>
  <w:footnote w:type="continuationSeparator" w:id="1">
    <w:p w:rsidR="00603B49" w:rsidRDefault="0060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E12387"/>
    <w:multiLevelType w:val="singleLevel"/>
    <w:tmpl w:val="E2E12387"/>
    <w:lvl w:ilvl="0">
      <w:start w:val="1"/>
      <w:numFmt w:val="decimal"/>
      <w:suff w:val="nothing"/>
      <w:lvlText w:val="%1、"/>
      <w:lvlJc w:val="left"/>
    </w:lvl>
  </w:abstractNum>
  <w:abstractNum w:abstractNumId="1">
    <w:nsid w:val="33B87EB4"/>
    <w:multiLevelType w:val="singleLevel"/>
    <w:tmpl w:val="33B87EB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VlYWE4NTY5ZmM4YmNhZTM0OGY1NjVmY2Y0MWFiNGMifQ=="/>
  </w:docVars>
  <w:rsids>
    <w:rsidRoot w:val="2EB77C5E"/>
    <w:rsid w:val="001111A5"/>
    <w:rsid w:val="001E739A"/>
    <w:rsid w:val="003D08DA"/>
    <w:rsid w:val="004715F0"/>
    <w:rsid w:val="00563A6F"/>
    <w:rsid w:val="00603B49"/>
    <w:rsid w:val="00C54ABA"/>
    <w:rsid w:val="00D23D61"/>
    <w:rsid w:val="00D4007B"/>
    <w:rsid w:val="00DF3612"/>
    <w:rsid w:val="00F949A5"/>
    <w:rsid w:val="1A0C69AF"/>
    <w:rsid w:val="1B1069E9"/>
    <w:rsid w:val="24833D88"/>
    <w:rsid w:val="2EB77C5E"/>
    <w:rsid w:val="51D236DC"/>
    <w:rsid w:val="57E1369E"/>
    <w:rsid w:val="65D4400A"/>
    <w:rsid w:val="6ED133A5"/>
    <w:rsid w:val="7DC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4715F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15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715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715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715F0"/>
    <w:rPr>
      <w:b/>
    </w:rPr>
  </w:style>
  <w:style w:type="character" w:styleId="a7">
    <w:name w:val="Emphasis"/>
    <w:basedOn w:val="a0"/>
    <w:qFormat/>
    <w:rsid w:val="004715F0"/>
    <w:rPr>
      <w:i/>
    </w:rPr>
  </w:style>
  <w:style w:type="character" w:styleId="a8">
    <w:name w:val="Hyperlink"/>
    <w:basedOn w:val="a0"/>
    <w:rsid w:val="004715F0"/>
    <w:rPr>
      <w:color w:val="0000FF"/>
      <w:u w:val="single"/>
    </w:rPr>
  </w:style>
  <w:style w:type="paragraph" w:styleId="a9">
    <w:name w:val="Balloon Text"/>
    <w:basedOn w:val="a"/>
    <w:link w:val="Char"/>
    <w:rsid w:val="001E739A"/>
    <w:rPr>
      <w:sz w:val="18"/>
      <w:szCs w:val="18"/>
    </w:rPr>
  </w:style>
  <w:style w:type="character" w:customStyle="1" w:styleId="Char">
    <w:name w:val="批注框文本 Char"/>
    <w:basedOn w:val="a0"/>
    <w:link w:val="a9"/>
    <w:rsid w:val="001E7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NjubRJ-cv7_hyA-j-ijgRYKXTSNanwDvTVhwmTTf4hh0k3pejDOGiquWJQtJ9VgF62T7UfYh2Pd-KYJMgIOW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NjubRJ-cv7_hyA-j-ijgRYKXTSNanwDvTVhwmTTf4hh0k3pejDOGiquWJQtJ9VgF62T7UfYh2Pd-KYJMgIOWa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>Organization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李文东</dc:creator>
  <cp:lastModifiedBy>赵贺</cp:lastModifiedBy>
  <cp:revision>4</cp:revision>
  <dcterms:created xsi:type="dcterms:W3CDTF">2023-02-10T02:05:00Z</dcterms:created>
  <dcterms:modified xsi:type="dcterms:W3CDTF">2023-02-14T03:30:00Z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5D18B84BFA794F8A8AAD6D4AD6E037D7</vt:lpwstr>
  </property>
</Properties>
</file>