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 w14:paraId="1E751D7D">
      <w:pPr>
        <w:pStyle w:val="style0"/>
        <w:spacing w:lineRule="auto" w:line="276"/>
        <w:jc w:val="center"/>
        <w:rPr>
          <w:rFonts w:ascii="黑体" w:eastAsia="黑体" w:hAnsi="宋体" w:hint="eastAsia"/>
          <w:b/>
          <w:bCs/>
          <w:sz w:val="36"/>
          <w:szCs w:val="36"/>
        </w:rPr>
      </w:pPr>
      <w:r>
        <w:rPr>
          <w:rFonts w:ascii="黑体" w:eastAsia="黑体" w:hAnsi="宋体" w:hint="eastAsia"/>
          <w:b/>
          <w:bCs/>
          <w:sz w:val="36"/>
          <w:szCs w:val="36"/>
        </w:rPr>
        <w:t>首都医科大学附属北京地坛医院肝病</w:t>
      </w:r>
      <w:r>
        <w:rPr>
          <w:rFonts w:ascii="黑体" w:eastAsia="黑体" w:hAnsi="宋体" w:hint="eastAsia"/>
          <w:b/>
          <w:bCs/>
          <w:sz w:val="36"/>
          <w:szCs w:val="36"/>
        </w:rPr>
        <w:t>三</w:t>
      </w:r>
      <w:r>
        <w:rPr>
          <w:rFonts w:ascii="黑体" w:eastAsia="黑体" w:hAnsi="宋体" w:hint="eastAsia"/>
          <w:b/>
          <w:bCs/>
          <w:sz w:val="36"/>
          <w:szCs w:val="36"/>
        </w:rPr>
        <w:t>科</w:t>
      </w:r>
    </w:p>
    <w:p w14:paraId="A5E66E86">
      <w:pPr>
        <w:pStyle w:val="style0"/>
        <w:spacing w:lineRule="auto" w:line="276"/>
        <w:jc w:val="center"/>
        <w:rPr>
          <w:rFonts w:ascii="黑体" w:eastAsia="黑体" w:hAnsi="宋体" w:hint="eastAsia"/>
          <w:b/>
          <w:bCs/>
          <w:sz w:val="36"/>
          <w:szCs w:val="36"/>
        </w:rPr>
      </w:pPr>
      <w:r>
        <w:rPr>
          <w:rFonts w:ascii="黑体" w:eastAsia="黑体" w:hAnsi="宋体" w:hint="eastAsia"/>
          <w:b/>
          <w:bCs/>
          <w:sz w:val="36"/>
          <w:szCs w:val="36"/>
        </w:rPr>
        <w:t>进修</w:t>
      </w:r>
      <w:r>
        <w:rPr>
          <w:rFonts w:ascii="黑体" w:eastAsia="黑体" w:hAnsi="宋体" w:hint="eastAsia"/>
          <w:b/>
          <w:bCs/>
          <w:sz w:val="36"/>
          <w:szCs w:val="36"/>
        </w:rPr>
        <w:t>医师</w:t>
      </w:r>
      <w:r>
        <w:rPr>
          <w:rFonts w:ascii="黑体" w:eastAsia="黑体" w:hAnsi="宋体" w:hint="eastAsia"/>
          <w:b/>
          <w:bCs/>
          <w:sz w:val="36"/>
          <w:szCs w:val="36"/>
        </w:rPr>
        <w:t>培训</w:t>
      </w:r>
      <w:r>
        <w:rPr>
          <w:rFonts w:ascii="黑体" w:eastAsia="黑体" w:hAnsi="宋体" w:hint="eastAsia"/>
          <w:b/>
          <w:bCs/>
          <w:sz w:val="36"/>
          <w:szCs w:val="36"/>
        </w:rPr>
        <w:t>招募</w:t>
      </w:r>
      <w:r>
        <w:rPr>
          <w:rFonts w:ascii="黑体" w:eastAsia="黑体" w:hAnsi="宋体" w:hint="eastAsia"/>
          <w:b/>
          <w:bCs/>
          <w:sz w:val="36"/>
          <w:szCs w:val="36"/>
        </w:rPr>
        <w:t>通知</w:t>
      </w:r>
    </w:p>
    <w:p w14:paraId="EFE4243E">
      <w:pPr>
        <w:pStyle w:val="style0"/>
        <w:spacing w:lineRule="auto" w:line="276"/>
        <w:rPr>
          <w:rFonts w:ascii="宋体" w:eastAsia="宋体" w:hAnsi="宋体"/>
          <w:sz w:val="24"/>
          <w:szCs w:val="24"/>
        </w:rPr>
      </w:pPr>
    </w:p>
    <w:p w14:paraId="26366691">
      <w:pPr>
        <w:pStyle w:val="style0"/>
        <w:spacing w:lineRule="auto" w:line="360"/>
        <w:ind w:firstLine="480" w:firstLineChars="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首都医科大学附属北京地坛医院</w:t>
      </w:r>
      <w:r>
        <w:rPr>
          <w:rFonts w:ascii="宋体" w:eastAsia="宋体" w:hAnsi="宋体" w:hint="eastAsia"/>
          <w:sz w:val="24"/>
          <w:szCs w:val="24"/>
        </w:rPr>
        <w:t>肝病</w:t>
      </w:r>
      <w:r>
        <w:rPr>
          <w:rFonts w:ascii="宋体" w:eastAsia="宋体" w:hAnsi="宋体" w:hint="eastAsia"/>
          <w:sz w:val="24"/>
          <w:szCs w:val="24"/>
        </w:rPr>
        <w:t>三科</w:t>
      </w:r>
      <w:r>
        <w:rPr>
          <w:rFonts w:ascii="宋体" w:eastAsia="宋体" w:hAnsi="宋体" w:hint="eastAsia"/>
          <w:sz w:val="24"/>
          <w:szCs w:val="24"/>
        </w:rPr>
        <w:t>常规开展</w:t>
      </w:r>
      <w:r>
        <w:rPr>
          <w:rFonts w:ascii="宋体" w:eastAsia="宋体" w:hAnsi="宋体" w:hint="eastAsia"/>
          <w:sz w:val="24"/>
          <w:szCs w:val="24"/>
        </w:rPr>
        <w:t>各种</w:t>
      </w:r>
      <w:r>
        <w:rPr>
          <w:rFonts w:ascii="宋体" w:eastAsia="宋体" w:hAnsi="宋体" w:hint="eastAsia"/>
          <w:sz w:val="24"/>
          <w:szCs w:val="24"/>
        </w:rPr>
        <w:t>急慢性肝病</w:t>
      </w:r>
      <w:r>
        <w:rPr>
          <w:rFonts w:ascii="宋体" w:eastAsia="宋体" w:hAnsi="宋体" w:hint="eastAsia"/>
          <w:sz w:val="24"/>
          <w:szCs w:val="24"/>
        </w:rPr>
        <w:t>的诊治工作，科室特色为酒精性肝病</w:t>
      </w:r>
      <w:r>
        <w:rPr>
          <w:rFonts w:ascii="宋体" w:eastAsia="宋体" w:hAnsi="宋体" w:hint="eastAsia"/>
          <w:sz w:val="24"/>
          <w:szCs w:val="24"/>
        </w:rPr>
        <w:t>多学科诊治</w:t>
      </w:r>
      <w:r>
        <w:rPr>
          <w:rFonts w:ascii="宋体" w:eastAsia="宋体" w:hAnsi="宋体" w:hint="eastAsia"/>
          <w:sz w:val="24"/>
          <w:szCs w:val="24"/>
          <w:lang w:eastAsia="zh-CN"/>
        </w:rPr>
        <w:t>及长期全程管理，酒精障碍患者长期戒酒管理</w:t>
      </w:r>
      <w:r>
        <w:rPr>
          <w:rFonts w:ascii="宋体" w:hAnsi="宋体" w:hint="eastAsia"/>
          <w:sz w:val="24"/>
          <w:szCs w:val="24"/>
          <w:lang w:eastAsia="zh-CN"/>
        </w:rPr>
        <w:t>，</w:t>
      </w:r>
      <w:r>
        <w:rPr>
          <w:rFonts w:ascii="宋体" w:eastAsia="宋体" w:hAnsi="宋体" w:hint="eastAsia"/>
          <w:sz w:val="24"/>
          <w:szCs w:val="24"/>
          <w:lang w:eastAsia="zh-CN"/>
        </w:rPr>
        <w:t>粪菌移植治疗肝脏疾病及相关并发症如酒精性肝病，肝性脑病，肝性脊髓病，肝肺综合征等，复杂疑难罕见肝病如</w:t>
      </w:r>
      <w:r>
        <w:rPr>
          <w:rFonts w:ascii="宋体" w:eastAsia="宋体" w:hAnsi="宋体" w:hint="eastAsia"/>
          <w:sz w:val="24"/>
          <w:szCs w:val="24"/>
        </w:rPr>
        <w:t>遗传代谢性肝病诊断与长期治疗</w:t>
      </w:r>
      <w:r>
        <w:rPr>
          <w:rFonts w:ascii="宋体" w:eastAsia="宋体" w:hAnsi="宋体" w:hint="eastAsia"/>
          <w:sz w:val="24"/>
          <w:szCs w:val="24"/>
        </w:rPr>
        <w:t>随访</w:t>
      </w:r>
      <w:r>
        <w:rPr>
          <w:rFonts w:ascii="宋体" w:hAnsi="宋体" w:hint="eastAsia"/>
          <w:sz w:val="24"/>
          <w:szCs w:val="24"/>
          <w:lang w:eastAsia="zh-CN"/>
        </w:rPr>
        <w:t>（</w:t>
      </w:r>
      <w:r>
        <w:rPr>
          <w:rFonts w:ascii="宋体" w:eastAsia="宋体" w:hAnsi="宋体" w:hint="eastAsia"/>
          <w:sz w:val="24"/>
          <w:szCs w:val="24"/>
        </w:rPr>
        <w:t>原发性血色病的放血治疗</w:t>
      </w:r>
      <w:r>
        <w:rPr>
          <w:rFonts w:ascii="宋体" w:hAnsi="宋体" w:hint="eastAsia"/>
          <w:sz w:val="24"/>
          <w:szCs w:val="24"/>
          <w:lang w:eastAsia="zh-CN"/>
        </w:rPr>
        <w:t>，肝豆状核变性长期管理等）并建立了疑难危重罕见病例数据资料库</w:t>
      </w:r>
      <w:r>
        <w:rPr>
          <w:rFonts w:ascii="宋体" w:eastAsia="宋体" w:hAnsi="宋体" w:hint="eastAsia"/>
          <w:sz w:val="24"/>
          <w:szCs w:val="24"/>
        </w:rPr>
        <w:t>；</w:t>
      </w:r>
      <w:r>
        <w:rPr>
          <w:rFonts w:ascii="宋体" w:eastAsia="宋体" w:hAnsi="宋体" w:hint="eastAsia"/>
          <w:sz w:val="24"/>
          <w:szCs w:val="24"/>
        </w:rPr>
        <w:t>乙型肝炎临床治愈、门静脉血栓</w:t>
      </w:r>
      <w:r>
        <w:rPr>
          <w:rFonts w:ascii="宋体" w:eastAsia="宋体" w:hAnsi="宋体" w:hint="eastAsia"/>
          <w:sz w:val="24"/>
          <w:szCs w:val="24"/>
        </w:rPr>
        <w:t>、肝性脊髓病</w:t>
      </w:r>
      <w:r>
        <w:rPr>
          <w:rFonts w:ascii="宋体" w:hAnsi="宋体" w:hint="eastAsia"/>
          <w:sz w:val="24"/>
          <w:szCs w:val="24"/>
          <w:lang w:eastAsia="zh-CN"/>
        </w:rPr>
        <w:t>，顽固性胸腹水</w:t>
      </w:r>
      <w:r>
        <w:rPr>
          <w:rFonts w:ascii="宋体" w:eastAsia="宋体" w:hAnsi="宋体" w:hint="eastAsia"/>
          <w:sz w:val="24"/>
          <w:szCs w:val="24"/>
        </w:rPr>
        <w:t>等肝硬化复杂并发症</w:t>
      </w:r>
      <w:r>
        <w:rPr>
          <w:rFonts w:ascii="宋体" w:eastAsia="宋体" w:hAnsi="宋体" w:hint="eastAsia"/>
          <w:sz w:val="24"/>
          <w:szCs w:val="24"/>
        </w:rPr>
        <w:t>管理</w:t>
      </w:r>
      <w:r>
        <w:rPr>
          <w:rFonts w:ascii="宋体" w:eastAsia="宋体" w:hAnsi="宋体" w:hint="eastAsia"/>
          <w:sz w:val="24"/>
          <w:szCs w:val="24"/>
        </w:rPr>
        <w:t>、急慢性肝衰竭的综合治疗、肝</w:t>
      </w:r>
      <w:r>
        <w:rPr>
          <w:rFonts w:ascii="宋体" w:eastAsia="宋体" w:hAnsi="宋体" w:hint="eastAsia"/>
          <w:sz w:val="24"/>
          <w:szCs w:val="24"/>
          <w:lang w:eastAsia="zh-CN"/>
        </w:rPr>
        <w:t>部恶性肿瘤</w:t>
      </w:r>
      <w:r>
        <w:rPr>
          <w:rFonts w:ascii="宋体" w:eastAsia="宋体" w:hAnsi="宋体" w:hint="eastAsia"/>
          <w:sz w:val="24"/>
          <w:szCs w:val="24"/>
        </w:rPr>
        <w:t>的多学科诊治。科室每周均开展疑难病例讨论及业务学习。科室建有粪菌移植治疗肝脏疾病实验室，</w:t>
      </w:r>
      <w:r>
        <w:rPr>
          <w:rFonts w:ascii="宋体" w:eastAsia="宋体" w:hAnsi="宋体" w:hint="eastAsia"/>
          <w:sz w:val="24"/>
          <w:szCs w:val="24"/>
          <w:lang w:eastAsia="zh-CN"/>
        </w:rPr>
        <w:t>已开展</w:t>
      </w:r>
      <w:r>
        <w:rPr>
          <w:rFonts w:ascii="宋体" w:eastAsia="宋体" w:hAnsi="宋体" w:hint="eastAsia"/>
          <w:sz w:val="24"/>
          <w:szCs w:val="24"/>
        </w:rPr>
        <w:t>粪菌移植治疗肝病</w:t>
      </w:r>
      <w:r>
        <w:rPr>
          <w:rFonts w:ascii="宋体" w:eastAsia="宋体" w:hAnsi="宋体" w:hint="eastAsia"/>
          <w:sz w:val="24"/>
          <w:szCs w:val="24"/>
          <w:lang w:eastAsia="zh-CN"/>
        </w:rPr>
        <w:t>及并发症</w:t>
      </w:r>
      <w:r>
        <w:rPr>
          <w:rFonts w:ascii="宋体" w:eastAsia="宋体" w:hAnsi="宋体" w:hint="eastAsia"/>
          <w:sz w:val="24"/>
          <w:szCs w:val="24"/>
        </w:rPr>
        <w:t>相关工作</w:t>
      </w:r>
      <w:r>
        <w:rPr>
          <w:rFonts w:ascii="宋体" w:hAnsi="宋体" w:hint="eastAsia"/>
          <w:sz w:val="24"/>
          <w:szCs w:val="24"/>
          <w:lang w:eastAsia="zh-CN"/>
        </w:rPr>
        <w:t>，疗效显著</w:t>
      </w:r>
      <w:r>
        <w:rPr>
          <w:rFonts w:ascii="宋体" w:eastAsia="宋体" w:hAnsi="宋体" w:hint="eastAsia"/>
          <w:sz w:val="24"/>
          <w:szCs w:val="24"/>
        </w:rPr>
        <w:t>。此外</w:t>
      </w:r>
      <w:r>
        <w:rPr>
          <w:rFonts w:ascii="宋体" w:eastAsia="宋体" w:hAnsi="宋体" w:hint="eastAsia"/>
          <w:sz w:val="24"/>
          <w:szCs w:val="24"/>
        </w:rPr>
        <w:t>每年均承办</w:t>
      </w:r>
      <w:r>
        <w:rPr>
          <w:rFonts w:ascii="宋体" w:eastAsia="宋体" w:hAnsi="宋体" w:hint="eastAsia"/>
          <w:sz w:val="24"/>
          <w:szCs w:val="24"/>
        </w:rPr>
        <w:t>传染病诊治与管理</w:t>
      </w:r>
      <w:r>
        <w:rPr>
          <w:rFonts w:ascii="宋体" w:eastAsia="宋体" w:hAnsi="宋体" w:hint="eastAsia"/>
          <w:sz w:val="24"/>
          <w:szCs w:val="24"/>
        </w:rPr>
        <w:t>新进展、</w:t>
      </w:r>
      <w:r>
        <w:rPr>
          <w:rFonts w:ascii="宋体" w:eastAsia="宋体" w:hAnsi="宋体" w:hint="eastAsia"/>
          <w:sz w:val="24"/>
          <w:szCs w:val="24"/>
        </w:rPr>
        <w:t>酒精性肝病</w:t>
      </w:r>
      <w:r>
        <w:rPr>
          <w:rFonts w:ascii="宋体" w:eastAsia="宋体" w:hAnsi="宋体" w:hint="eastAsia"/>
          <w:sz w:val="24"/>
          <w:szCs w:val="24"/>
        </w:rPr>
        <w:t>多学科诊疗</w:t>
      </w:r>
      <w:r>
        <w:rPr>
          <w:rFonts w:ascii="宋体" w:eastAsia="宋体" w:hAnsi="宋体" w:hint="eastAsia"/>
          <w:sz w:val="24"/>
          <w:szCs w:val="24"/>
        </w:rPr>
        <w:t>等国家级</w:t>
      </w:r>
      <w:r>
        <w:rPr>
          <w:rFonts w:ascii="宋体" w:eastAsia="宋体" w:hAnsi="宋体" w:hint="eastAsia"/>
          <w:sz w:val="24"/>
          <w:szCs w:val="24"/>
        </w:rPr>
        <w:t>与</w:t>
      </w:r>
      <w:r>
        <w:rPr>
          <w:rFonts w:ascii="宋体" w:eastAsia="宋体" w:hAnsi="宋体" w:hint="eastAsia"/>
          <w:sz w:val="24"/>
          <w:szCs w:val="24"/>
        </w:rPr>
        <w:t>市级学习班</w:t>
      </w:r>
      <w:r>
        <w:rPr>
          <w:rFonts w:ascii="宋体" w:eastAsia="宋体" w:hAnsi="宋体" w:hint="eastAsia"/>
          <w:sz w:val="24"/>
          <w:szCs w:val="24"/>
        </w:rPr>
        <w:t>，可帮助进修人员系统掌握各型肝病的诊治进展，切实提高业务水平。</w:t>
      </w:r>
    </w:p>
    <w:p w14:paraId="D0F0ECFE">
      <w:pPr>
        <w:pStyle w:val="style0"/>
        <w:spacing w:lineRule="auto" w:line="360"/>
        <w:ind w:firstLine="480" w:firstLineChars="200"/>
        <w:rPr>
          <w:rFonts w:ascii="宋体" w:eastAsia="宋体" w:hAnsi="宋体"/>
          <w:sz w:val="24"/>
          <w:szCs w:val="24"/>
        </w:rPr>
      </w:pPr>
    </w:p>
    <w:p w14:paraId="E0F288B9">
      <w:pPr>
        <w:pStyle w:val="style0"/>
        <w:spacing w:lineRule="auto" w:line="36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招收对象：</w:t>
      </w:r>
      <w:r>
        <w:rPr>
          <w:rFonts w:ascii="宋体" w:eastAsia="宋体" w:hAnsi="宋体" w:hint="eastAsia"/>
          <w:sz w:val="24"/>
          <w:szCs w:val="24"/>
        </w:rPr>
        <w:t>肝病专业或相关专业医生、</w:t>
      </w:r>
      <w:r>
        <w:rPr>
          <w:rFonts w:ascii="宋体" w:eastAsia="宋体" w:hAnsi="宋体" w:hint="eastAsia"/>
          <w:sz w:val="24"/>
          <w:szCs w:val="24"/>
        </w:rPr>
        <w:t>科研</w:t>
      </w:r>
      <w:r>
        <w:rPr>
          <w:rFonts w:ascii="宋体" w:eastAsia="宋体" w:hAnsi="宋体" w:hint="eastAsia"/>
          <w:sz w:val="24"/>
          <w:szCs w:val="24"/>
        </w:rPr>
        <w:t>人员</w:t>
      </w:r>
      <w:r>
        <w:rPr>
          <w:rFonts w:ascii="宋体" w:eastAsia="宋体" w:hAnsi="宋体"/>
          <w:sz w:val="24"/>
          <w:szCs w:val="24"/>
        </w:rPr>
        <w:t>。</w:t>
      </w:r>
    </w:p>
    <w:p w14:paraId="2A1A175C">
      <w:pPr>
        <w:pStyle w:val="style0"/>
        <w:spacing w:lineRule="auto" w:line="360"/>
        <w:rPr>
          <w:rFonts w:ascii="宋体" w:eastAsia="宋体" w:hAnsi="宋体"/>
          <w:sz w:val="24"/>
          <w:szCs w:val="24"/>
        </w:rPr>
      </w:pPr>
    </w:p>
    <w:p w14:paraId="426B0E32">
      <w:pPr>
        <w:pStyle w:val="style0"/>
        <w:spacing w:lineRule="auto" w:line="36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培训模式：</w:t>
      </w:r>
      <w:r>
        <w:rPr>
          <w:rFonts w:ascii="宋体" w:eastAsia="宋体" w:hAnsi="宋体" w:hint="eastAsia"/>
          <w:sz w:val="24"/>
          <w:szCs w:val="24"/>
        </w:rPr>
        <w:t>首都医科大学地坛医院肝病</w:t>
      </w:r>
      <w:r>
        <w:rPr>
          <w:rFonts w:ascii="宋体" w:eastAsia="宋体" w:hAnsi="宋体" w:hint="eastAsia"/>
          <w:sz w:val="24"/>
          <w:szCs w:val="24"/>
        </w:rPr>
        <w:t>三</w:t>
      </w:r>
      <w:r>
        <w:rPr>
          <w:rFonts w:ascii="宋体" w:eastAsia="宋体" w:hAnsi="宋体" w:hint="eastAsia"/>
          <w:sz w:val="24"/>
          <w:szCs w:val="24"/>
        </w:rPr>
        <w:t>科</w:t>
      </w:r>
      <w:r>
        <w:rPr>
          <w:rFonts w:ascii="宋体" w:eastAsia="宋体" w:hAnsi="宋体" w:hint="eastAsia"/>
          <w:sz w:val="24"/>
          <w:szCs w:val="24"/>
        </w:rPr>
        <w:t>对前来进修学习的每位医师均制定完善的、个体化工作学习计划，</w:t>
      </w:r>
      <w:r>
        <w:rPr>
          <w:rFonts w:ascii="宋体" w:eastAsia="宋体" w:hAnsi="宋体" w:hint="eastAsia"/>
          <w:sz w:val="24"/>
          <w:szCs w:val="24"/>
        </w:rPr>
        <w:t>由高年资主治医师、副主任医师等</w:t>
      </w:r>
      <w:r>
        <w:rPr>
          <w:rFonts w:ascii="宋体" w:eastAsia="宋体" w:hAnsi="宋体" w:hint="eastAsia"/>
          <w:sz w:val="24"/>
          <w:szCs w:val="24"/>
        </w:rPr>
        <w:t>实行一对一带教，</w:t>
      </w:r>
      <w:r>
        <w:rPr>
          <w:rFonts w:ascii="宋体" w:eastAsia="宋体" w:hAnsi="宋体"/>
          <w:sz w:val="24"/>
          <w:szCs w:val="24"/>
        </w:rPr>
        <w:t>让每一位进修培训</w:t>
      </w:r>
      <w:r>
        <w:rPr>
          <w:rFonts w:ascii="宋体" w:eastAsia="宋体" w:hAnsi="宋体" w:hint="eastAsia"/>
          <w:sz w:val="24"/>
          <w:szCs w:val="24"/>
        </w:rPr>
        <w:t>人员</w:t>
      </w:r>
      <w:r>
        <w:rPr>
          <w:rFonts w:ascii="宋体" w:eastAsia="宋体" w:hAnsi="宋体"/>
          <w:sz w:val="24"/>
          <w:szCs w:val="24"/>
        </w:rPr>
        <w:t>亲自参与患者管理，拥有更多</w:t>
      </w:r>
      <w:r>
        <w:rPr>
          <w:rFonts w:ascii="宋体" w:eastAsia="宋体" w:hAnsi="宋体" w:hint="eastAsia"/>
          <w:sz w:val="24"/>
          <w:szCs w:val="24"/>
        </w:rPr>
        <w:t>讨论</w:t>
      </w:r>
      <w:r>
        <w:rPr>
          <w:rFonts w:ascii="宋体" w:eastAsia="宋体" w:hAnsi="宋体"/>
          <w:sz w:val="24"/>
          <w:szCs w:val="24"/>
        </w:rPr>
        <w:t>机会，一起共同学习进步。</w:t>
      </w:r>
    </w:p>
    <w:p w14:paraId="ACF6C1CB">
      <w:pPr>
        <w:pStyle w:val="style0"/>
        <w:spacing w:lineRule="auto" w:line="360"/>
        <w:rPr>
          <w:rFonts w:ascii="宋体" w:eastAsia="宋体" w:hAnsi="宋体"/>
          <w:sz w:val="24"/>
          <w:szCs w:val="24"/>
        </w:rPr>
      </w:pPr>
    </w:p>
    <w:p w14:paraId="8CDCCAD5">
      <w:pPr>
        <w:pStyle w:val="style0"/>
        <w:spacing w:lineRule="auto" w:line="360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计划带教重点及理论</w:t>
      </w:r>
      <w:r>
        <w:rPr>
          <w:rFonts w:ascii="宋体" w:eastAsia="宋体" w:hAnsi="宋体" w:hint="eastAsia"/>
          <w:b/>
          <w:bCs/>
          <w:sz w:val="24"/>
          <w:szCs w:val="24"/>
        </w:rPr>
        <w:t>课程设置：</w:t>
      </w:r>
    </w:p>
    <w:p w14:paraId="198593A8">
      <w:pPr>
        <w:pStyle w:val="style0"/>
        <w:spacing w:lineRule="auto" w:line="36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肝病</w:t>
      </w:r>
      <w:r>
        <w:rPr>
          <w:rFonts w:ascii="宋体" w:eastAsia="宋体" w:hAnsi="宋体" w:hint="eastAsia"/>
          <w:sz w:val="24"/>
          <w:szCs w:val="24"/>
        </w:rPr>
        <w:t>三</w:t>
      </w:r>
      <w:r>
        <w:rPr>
          <w:rFonts w:ascii="宋体" w:eastAsia="宋体" w:hAnsi="宋体" w:hint="eastAsia"/>
          <w:sz w:val="24"/>
          <w:szCs w:val="24"/>
        </w:rPr>
        <w:t>科将对进修医师在开展常规诊疗培训的基础上，进行以下多方面、全方位、重点突出的理论课程讲授</w:t>
      </w:r>
      <w:r>
        <w:rPr>
          <w:rFonts w:ascii="宋体" w:eastAsia="宋体" w:hAnsi="宋体" w:hint="eastAsia"/>
          <w:sz w:val="24"/>
          <w:szCs w:val="24"/>
        </w:rPr>
        <w:t>：</w:t>
      </w:r>
    </w:p>
    <w:p w14:paraId="9148D364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酒精性肝病多学科诊治；</w:t>
      </w:r>
    </w:p>
    <w:p w14:paraId="52D99B68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肠道微生态干预治疗肝脏疾病；</w:t>
      </w:r>
    </w:p>
    <w:p w14:paraId="1E4EED48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  <w:lang w:eastAsia="zh-CN"/>
        </w:rPr>
        <w:t>危重、疑难、罕见肝脏疾病临床诊疗；</w:t>
      </w:r>
    </w:p>
    <w:p w14:paraId="AEFC8FE3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遗传代谢性肝病</w:t>
      </w:r>
      <w:r>
        <w:rPr>
          <w:rFonts w:ascii="宋体" w:eastAsia="宋体" w:hAnsi="宋体" w:hint="eastAsia"/>
          <w:sz w:val="24"/>
          <w:szCs w:val="24"/>
        </w:rPr>
        <w:t>早期</w:t>
      </w:r>
      <w:r>
        <w:rPr>
          <w:rFonts w:ascii="宋体" w:eastAsia="宋体" w:hAnsi="宋体" w:hint="eastAsia"/>
          <w:sz w:val="24"/>
          <w:szCs w:val="24"/>
        </w:rPr>
        <w:t>诊断与长期治疗随访；</w:t>
      </w:r>
    </w:p>
    <w:p w14:paraId="6EFDE756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乙型肝炎临床治愈；</w:t>
      </w:r>
    </w:p>
    <w:p w14:paraId="17CC433F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门静脉血栓、肝性脊髓病</w:t>
      </w:r>
      <w:r>
        <w:rPr>
          <w:rFonts w:ascii="宋体" w:hAnsi="宋体" w:hint="eastAsia"/>
          <w:sz w:val="24"/>
          <w:szCs w:val="24"/>
          <w:lang w:eastAsia="zh-CN"/>
        </w:rPr>
        <w:t>，顽固性胸腹水</w:t>
      </w:r>
      <w:r>
        <w:rPr>
          <w:rFonts w:ascii="宋体" w:eastAsia="宋体" w:hAnsi="宋体" w:hint="eastAsia"/>
          <w:sz w:val="24"/>
          <w:szCs w:val="24"/>
        </w:rPr>
        <w:t>等肝硬化复杂少见并发症管理；</w:t>
      </w:r>
    </w:p>
    <w:p w14:paraId="3F70B504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急慢性肝衰竭的综合治疗</w:t>
      </w:r>
      <w:r>
        <w:rPr>
          <w:rFonts w:ascii="宋体" w:eastAsia="宋体" w:hAnsi="宋体" w:hint="eastAsia"/>
          <w:sz w:val="24"/>
          <w:szCs w:val="24"/>
        </w:rPr>
        <w:t>；</w:t>
      </w:r>
    </w:p>
    <w:p w14:paraId="D81995E3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  <w:lang w:eastAsia="zh-CN"/>
        </w:rPr>
        <w:t>肝脏恶性肿瘤</w:t>
      </w:r>
      <w:r>
        <w:rPr>
          <w:rFonts w:ascii="宋体" w:eastAsia="宋体" w:hAnsi="宋体" w:hint="eastAsia"/>
          <w:sz w:val="24"/>
          <w:szCs w:val="24"/>
        </w:rPr>
        <w:t>的多学科诊治</w:t>
      </w:r>
      <w:r>
        <w:rPr>
          <w:rFonts w:ascii="宋体" w:eastAsia="宋体" w:hAnsi="宋体" w:hint="eastAsia"/>
          <w:sz w:val="24"/>
          <w:szCs w:val="24"/>
        </w:rPr>
        <w:t>；</w:t>
      </w:r>
    </w:p>
    <w:p w14:paraId="35D69EB6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常用医学科研方法学理论介绍：对医学科研中常用的统计学、方法学进行介绍，让进修医生初步了解不同研究设计思路</w:t>
      </w:r>
      <w:r>
        <w:rPr>
          <w:rFonts w:ascii="宋体" w:eastAsia="宋体" w:hAnsi="宋体" w:hint="eastAsia"/>
          <w:sz w:val="24"/>
          <w:szCs w:val="24"/>
        </w:rPr>
        <w:t>；</w:t>
      </w:r>
    </w:p>
    <w:p w14:paraId="5E05FA90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常用医学统计软件实操介绍：对S</w:t>
      </w:r>
      <w:r>
        <w:rPr>
          <w:rFonts w:ascii="宋体" w:eastAsia="宋体" w:hAnsi="宋体"/>
          <w:sz w:val="24"/>
          <w:szCs w:val="24"/>
        </w:rPr>
        <w:t>PSS</w:t>
      </w:r>
      <w:r>
        <w:rPr>
          <w:rFonts w:ascii="宋体" w:eastAsia="宋体" w:hAnsi="宋体" w:hint="eastAsia"/>
          <w:sz w:val="24"/>
          <w:szCs w:val="24"/>
        </w:rPr>
        <w:t>、S</w:t>
      </w:r>
      <w:r>
        <w:rPr>
          <w:rFonts w:ascii="宋体" w:eastAsia="宋体" w:hAnsi="宋体"/>
          <w:sz w:val="24"/>
          <w:szCs w:val="24"/>
        </w:rPr>
        <w:t>AS</w:t>
      </w:r>
      <w:r>
        <w:rPr>
          <w:rFonts w:ascii="宋体" w:eastAsia="宋体" w:hAnsi="宋体" w:hint="eastAsia"/>
          <w:sz w:val="24"/>
          <w:szCs w:val="24"/>
        </w:rPr>
        <w:t>、S</w:t>
      </w:r>
      <w:r>
        <w:rPr>
          <w:rFonts w:ascii="宋体" w:eastAsia="宋体" w:hAnsi="宋体"/>
          <w:sz w:val="24"/>
          <w:szCs w:val="24"/>
        </w:rPr>
        <w:t>TATA</w:t>
      </w:r>
      <w:r>
        <w:rPr>
          <w:rFonts w:ascii="宋体" w:eastAsia="宋体" w:hAnsi="宋体" w:hint="eastAsia"/>
          <w:sz w:val="24"/>
          <w:szCs w:val="24"/>
        </w:rPr>
        <w:t>、R语言等进行介绍及实操数据演示</w:t>
      </w:r>
      <w:r>
        <w:rPr>
          <w:rFonts w:ascii="宋体" w:eastAsia="宋体" w:hAnsi="宋体" w:hint="eastAsia"/>
          <w:sz w:val="24"/>
          <w:szCs w:val="24"/>
        </w:rPr>
        <w:t>；</w:t>
      </w:r>
    </w:p>
    <w:p w14:paraId="ADCBE693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临床队列</w:t>
      </w:r>
      <w:r>
        <w:rPr>
          <w:rFonts w:ascii="宋体" w:eastAsia="宋体" w:hAnsi="宋体" w:hint="eastAsia"/>
          <w:sz w:val="24"/>
          <w:szCs w:val="24"/>
        </w:rPr>
        <w:t>的</w:t>
      </w:r>
      <w:r>
        <w:rPr>
          <w:rFonts w:ascii="宋体" w:eastAsia="宋体" w:hAnsi="宋体" w:hint="eastAsia"/>
          <w:sz w:val="24"/>
          <w:szCs w:val="24"/>
        </w:rPr>
        <w:t>建立及管理：</w:t>
      </w:r>
      <w:r>
        <w:rPr>
          <w:rFonts w:ascii="宋体" w:eastAsia="宋体" w:hAnsi="宋体" w:hint="eastAsia"/>
          <w:sz w:val="24"/>
          <w:szCs w:val="24"/>
        </w:rPr>
        <w:t>分享、介绍临床工作过程中队列的建立、数据收集、患者随访</w:t>
      </w:r>
      <w:r>
        <w:rPr>
          <w:rFonts w:ascii="宋体" w:eastAsia="宋体" w:hAnsi="宋体" w:hint="eastAsia"/>
          <w:sz w:val="24"/>
          <w:szCs w:val="24"/>
        </w:rPr>
        <w:t>；</w:t>
      </w:r>
    </w:p>
    <w:p w14:paraId="7C47BC0F">
      <w:pPr>
        <w:pStyle w:val="style179"/>
        <w:numPr>
          <w:ilvl w:val="0"/>
          <w:numId w:val="1"/>
        </w:numPr>
        <w:spacing w:lineRule="auto" w:line="360"/>
        <w:ind w:firstLineChars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医学写作及成果转化经验分享</w:t>
      </w:r>
      <w:r>
        <w:rPr>
          <w:rFonts w:ascii="宋体" w:eastAsia="宋体" w:hAnsi="宋体" w:hint="eastAsia"/>
          <w:sz w:val="24"/>
          <w:szCs w:val="24"/>
        </w:rPr>
        <w:t>：进行中英文写作及投稿指导</w:t>
      </w:r>
      <w:r>
        <w:rPr>
          <w:rFonts w:ascii="宋体" w:eastAsia="宋体" w:hAnsi="宋体" w:hint="eastAsia"/>
          <w:sz w:val="24"/>
          <w:szCs w:val="24"/>
        </w:rPr>
        <w:t>。</w:t>
      </w:r>
    </w:p>
    <w:p w14:paraId="DB09155F">
      <w:pPr>
        <w:pStyle w:val="style0"/>
        <w:spacing w:lineRule="auto" w:line="360"/>
        <w:ind w:firstLine="480" w:firstLineChars="200"/>
        <w:rPr>
          <w:rFonts w:ascii="宋体" w:eastAsia="宋体" w:hAnsi="宋体"/>
          <w:sz w:val="24"/>
          <w:szCs w:val="24"/>
        </w:rPr>
      </w:pPr>
    </w:p>
    <w:p w14:paraId="3D43E0F9">
      <w:pPr>
        <w:pStyle w:val="style0"/>
        <w:spacing w:lineRule="auto" w:line="360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培养目标：</w:t>
      </w:r>
    </w:p>
    <w:p w14:paraId="57F6D437">
      <w:pPr>
        <w:pStyle w:val="style0"/>
        <w:spacing w:lineRule="auto" w:line="360"/>
        <w:ind w:firstLine="480" w:firstLineChars="200"/>
        <w:rPr>
          <w:rFonts w:ascii="宋体" w:eastAsia="宋体" w:hAnsi="宋体" w:hint="eastAsia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使进修医师系统全面掌握常见与少见肝脏疾病的诊治进展，使其成为团队的骨干</w:t>
      </w:r>
      <w:r>
        <w:rPr>
          <w:rFonts w:ascii="宋体" w:eastAsia="宋体" w:hAnsi="宋体" w:hint="eastAsia"/>
          <w:sz w:val="24"/>
          <w:szCs w:val="24"/>
        </w:rPr>
        <w:t>；</w:t>
      </w:r>
      <w:r>
        <w:rPr>
          <w:rFonts w:ascii="宋体" w:eastAsia="宋体" w:hAnsi="宋体"/>
          <w:sz w:val="24"/>
          <w:szCs w:val="24"/>
        </w:rPr>
        <w:t>对希望有提高科研或写作需求的进修培训医师，</w:t>
      </w:r>
      <w:r>
        <w:rPr>
          <w:rFonts w:ascii="宋体" w:eastAsia="宋体" w:hAnsi="宋体" w:hint="eastAsia"/>
          <w:sz w:val="24"/>
          <w:szCs w:val="24"/>
        </w:rPr>
        <w:t>还将重点进行科研方法、文章撰写的辅导及协助。</w:t>
      </w:r>
    </w:p>
    <w:p w14:paraId="2CF4C1F7">
      <w:pPr>
        <w:pStyle w:val="style0"/>
        <w:spacing w:lineRule="auto" w:line="360"/>
        <w:ind w:firstLine="480" w:firstLineChars="200"/>
        <w:rPr>
          <w:rFonts w:ascii="宋体" w:eastAsia="宋体" w:hAnsi="宋体" w:hint="eastAsia"/>
          <w:sz w:val="24"/>
          <w:szCs w:val="24"/>
        </w:rPr>
      </w:pPr>
    </w:p>
    <w:p w14:paraId="3A3BADF4">
      <w:pPr>
        <w:pStyle w:val="style0"/>
        <w:spacing w:lineRule="auto" w:line="360"/>
        <w:rPr>
          <w:rFonts w:ascii="宋体" w:eastAsia="宋体" w:hAnsi="宋体" w:hint="eastAsia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肝病三科</w:t>
      </w:r>
      <w:r>
        <w:rPr>
          <w:rFonts w:ascii="宋体" w:eastAsia="宋体" w:hAnsi="宋体" w:hint="eastAsia"/>
          <w:b/>
          <w:bCs/>
          <w:sz w:val="24"/>
          <w:szCs w:val="24"/>
        </w:rPr>
        <w:t>学科带头人简介</w:t>
      </w:r>
    </w:p>
    <w:p w14:paraId="625EA490">
      <w:pPr>
        <w:pStyle w:val="style0"/>
        <w:spacing w:lineRule="auto" w:line="360"/>
        <w:rPr>
          <w:rFonts w:ascii="宋体" w:eastAsia="宋体" w:hAnsi="宋体" w:hint="eastAsia"/>
          <w:b/>
          <w:bCs/>
          <w:sz w:val="24"/>
          <w:szCs w:val="24"/>
        </w:rPr>
      </w:pPr>
    </w:p>
    <w:p w14:paraId="F6F15FCE">
      <w:pPr>
        <w:pStyle w:val="style0"/>
        <w:spacing w:lineRule="auto" w:line="360"/>
        <w:rPr>
          <w:rFonts w:ascii="宋体" w:eastAsia="宋体" w:hAnsi="宋体"/>
          <w:sz w:val="24"/>
          <w:szCs w:val="24"/>
        </w:rPr>
      </w:pPr>
      <w:r>
        <w:rPr/>
        <w:drawing>
          <wp:inline distL="114300" distT="0" distB="0" distR="114300">
            <wp:extent cx="2329483" cy="3398057"/>
            <wp:effectExtent l="0" t="0" r="0" b="0"/>
            <wp:docPr id="1026" name="Image1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329483" cy="3398057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88342FC">
      <w:pPr>
        <w:pStyle w:val="style0"/>
        <w:spacing w:lineRule="auto" w:line="276"/>
        <w:ind w:firstLine="480" w:firstLineChars="20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  <w:lang w:val="en-US"/>
        </w:rPr>
        <w:t>杨松，博士，主任医师，研究生导师，北京地坛医院肝病三科副主任（主持工作）。美国加州大学圣地亚哥分校 访问学者，《中国肝脏病杂志（电子版）》主编，《中华实验和临床感染病杂志（电子版）》副总编辑，中国研究型医院学会肝病专委会常委，北京预防医学会微生态专业委员会常委兼秘书长。以第一/通讯作者在Cell Metabolism, PNAS 等SCI与核心期刊收录发表论文80余篇，其中SCI收录24篇，主编主译著作2部。</w:t>
      </w:r>
    </w:p>
    <w:sectPr>
      <w:pgSz w:w="11906" w:h="16838" w:orient="portrait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altName w:val="Arial"/>
    <w:panose1 w:val="020b0604020000020204"/>
    <w:charset w:val="00"/>
    <w:family w:val="swiss"/>
    <w:pitch w:val="variable"/>
    <w:sig w:usb0="20002A87" w:usb1="80000000" w:usb2="00000008" w:usb3="00000000" w:csb0="000001FF" w:csb1="00000000"/>
  </w:font>
  <w:font w:name="Times New Roman">
    <w:altName w:val="Times New Roman"/>
    <w:panose1 w:val="02020603050000020304"/>
    <w:charset w:val="00"/>
    <w:family w:val="roman"/>
    <w:pitch w:val="variable"/>
    <w:sig w:usb0="20002A87" w:usb1="80000000" w:usb2="00000008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黑体">
    <w:altName w:val="SimHei"/>
    <w:panose1 w:val="02010600030000010101"/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000010101"/>
    <w:charset w:val="86"/>
    <w:family w:val="auto"/>
    <w:pitch w:val="variable"/>
    <w:sig w:usb0="00000003" w:usb1="080E0000" w:usb2="00000010" w:usb3="00000000" w:csb0="00040001" w:csb1="00000000"/>
  </w:font>
  <w:font w:name="等线 Light">
    <w:altName w:val="Arial Unicode MS"/>
    <w:panose1 w:val="00000000000000000000"/>
    <w:charset w:val="86"/>
    <w:family w:val="auto"/>
    <w:pitch w:val="variable"/>
    <w:sig w:usb0="00000000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EFA404A2"/>
    <w:lvl w:ilvl="0" w:tplc="03CC29A4">
      <w:start w:val="1"/>
      <w:numFmt w:val="bullet"/>
      <w:lvlText w:val="●"/>
      <w:lvlJc w:val="left"/>
      <w:pPr>
        <w:tabs>
          <w:tab w:val="left" w:leader="none" w:pos="720"/>
        </w:tabs>
        <w:ind w:left="720" w:hanging="360"/>
      </w:pPr>
      <w:rPr>
        <w:rFonts w:ascii="Arial" w:hAnsi="Arial" w:hint="default"/>
      </w:rPr>
    </w:lvl>
    <w:lvl w:ilvl="1" w:tplc="EEF255A2" w:tentative="1">
      <w:start w:val="1"/>
      <w:numFmt w:val="bullet"/>
      <w:lvlText w:val="●"/>
      <w:lvlJc w:val="left"/>
      <w:pPr>
        <w:tabs>
          <w:tab w:val="left" w:leader="none" w:pos="1440"/>
        </w:tabs>
        <w:ind w:left="1440" w:hanging="360"/>
      </w:pPr>
      <w:rPr>
        <w:rFonts w:ascii="Arial" w:hAnsi="Arial" w:hint="default"/>
      </w:rPr>
    </w:lvl>
    <w:lvl w:ilvl="2" w:tplc="832469C0" w:tentative="1">
      <w:start w:val="1"/>
      <w:numFmt w:val="bullet"/>
      <w:lvlText w:val="●"/>
      <w:lvlJc w:val="left"/>
      <w:pPr>
        <w:tabs>
          <w:tab w:val="left" w:leader="none" w:pos="2160"/>
        </w:tabs>
        <w:ind w:left="2160" w:hanging="360"/>
      </w:pPr>
      <w:rPr>
        <w:rFonts w:ascii="Arial" w:hAnsi="Arial" w:hint="default"/>
      </w:rPr>
    </w:lvl>
    <w:lvl w:ilvl="3" w:tplc="8A566A28" w:tentative="1">
      <w:start w:val="1"/>
      <w:numFmt w:val="bullet"/>
      <w:lvlText w:val="●"/>
      <w:lvlJc w:val="left"/>
      <w:pPr>
        <w:tabs>
          <w:tab w:val="left" w:leader="none" w:pos="2880"/>
        </w:tabs>
        <w:ind w:left="2880" w:hanging="360"/>
      </w:pPr>
      <w:rPr>
        <w:rFonts w:ascii="Arial" w:hAnsi="Arial" w:hint="default"/>
      </w:rPr>
    </w:lvl>
    <w:lvl w:ilvl="4" w:tplc="EA1A8A2E" w:tentative="1">
      <w:start w:val="1"/>
      <w:numFmt w:val="bullet"/>
      <w:lvlText w:val="●"/>
      <w:lvlJc w:val="left"/>
      <w:pPr>
        <w:tabs>
          <w:tab w:val="left" w:leader="none" w:pos="3600"/>
        </w:tabs>
        <w:ind w:left="3600" w:hanging="360"/>
      </w:pPr>
      <w:rPr>
        <w:rFonts w:ascii="Arial" w:hAnsi="Arial" w:hint="default"/>
      </w:rPr>
    </w:lvl>
    <w:lvl w:ilvl="5" w:tplc="67EC2946" w:tentative="1">
      <w:start w:val="1"/>
      <w:numFmt w:val="bullet"/>
      <w:lvlText w:val="●"/>
      <w:lvlJc w:val="left"/>
      <w:pPr>
        <w:tabs>
          <w:tab w:val="left" w:leader="none" w:pos="4320"/>
        </w:tabs>
        <w:ind w:left="4320" w:hanging="360"/>
      </w:pPr>
      <w:rPr>
        <w:rFonts w:ascii="Arial" w:hAnsi="Arial" w:hint="default"/>
      </w:rPr>
    </w:lvl>
    <w:lvl w:ilvl="6" w:tplc="C7C8F210" w:tentative="1">
      <w:start w:val="1"/>
      <w:numFmt w:val="bullet"/>
      <w:lvlText w:val="●"/>
      <w:lvlJc w:val="left"/>
      <w:pPr>
        <w:tabs>
          <w:tab w:val="left" w:leader="none" w:pos="5040"/>
        </w:tabs>
        <w:ind w:left="5040" w:hanging="360"/>
      </w:pPr>
      <w:rPr>
        <w:rFonts w:ascii="Arial" w:hAnsi="Arial" w:hint="default"/>
      </w:rPr>
    </w:lvl>
    <w:lvl w:ilvl="7" w:tplc="12D495B0" w:tentative="1">
      <w:start w:val="1"/>
      <w:numFmt w:val="bullet"/>
      <w:lvlText w:val="●"/>
      <w:lvlJc w:val="left"/>
      <w:pPr>
        <w:tabs>
          <w:tab w:val="left" w:leader="none" w:pos="5760"/>
        </w:tabs>
        <w:ind w:left="5760" w:hanging="360"/>
      </w:pPr>
      <w:rPr>
        <w:rFonts w:ascii="Arial" w:hAnsi="Arial" w:hint="default"/>
      </w:rPr>
    </w:lvl>
    <w:lvl w:ilvl="8" w:tplc="00E80336" w:tentative="1">
      <w:start w:val="1"/>
      <w:numFmt w:val="bullet"/>
      <w:lvlText w:val="●"/>
      <w:lvlJc w:val="left"/>
      <w:pPr>
        <w:tabs>
          <w:tab w:val="left" w:leader="none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0000001"/>
    <w:multiLevelType w:val="hybridMultilevel"/>
    <w:tmpl w:val="52363BAC"/>
    <w:lvl w:ilvl="0" w:tplc="0409000B">
      <w:start w:val="1"/>
      <w:numFmt w:val="bullet"/>
      <w:lvlText w:val=""/>
      <w:lvlJc w:val="left"/>
      <w:pPr>
        <w:ind w:left="90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bordersDoNotSurroundHeader/>
  <w:bordersDoNotSurroundFooter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等线" w:cs="宋体" w:eastAsia="等线" w:hAnsi="等线"/>
        <w:kern w:val="2"/>
        <w:sz w:val="21"/>
        <w:szCs w:val="22"/>
        <w:lang w:val="en-US" w:bidi="ar-SA" w:eastAsia="zh-CN"/>
      </w:rPr>
    </w:rPrDefault>
    <w:pPrDefault>
      <w:pPr/>
    </w:pPrDefault>
  </w:docDefaults>
  <w:style w:type="paragraph" w:default="1" w:styleId="style0">
    <w:name w:val="Normal"/>
    <w:next w:val="style0"/>
    <w:qFormat/>
    <w:pPr>
      <w:widowControl w:val="false"/>
      <w:jc w:val="both"/>
    </w:pPr>
    <w:r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uiPriority w:val="34"/>
    <w:pPr>
      <w:ind w:firstLine="420" w:firstLineChars="200"/>
    </w:pPr>
    <w:rPr/>
  </w:style>
  <w:style w:type="paragraph" w:styleId="style31">
    <w:name w:val="header"/>
    <w:basedOn w:val="style0"/>
    <w:next w:val="style31"/>
    <w:link w:val="style4097"/>
    <w:uiPriority w:val="99"/>
    <w:pPr>
      <w:pBdr>
        <w:bottom w:val="single" w:sz="6" w:space="1" w:color="auto"/>
      </w:pBdr>
      <w:tabs>
        <w:tab w:val="center" w:leader="none" w:pos="4153"/>
        <w:tab w:val="right" w:leader="none" w:pos="8306"/>
      </w:tabs>
      <w:snapToGrid w:val="false"/>
      <w:jc w:val="center"/>
    </w:pPr>
    <w:rPr>
      <w:sz w:val="18"/>
      <w:szCs w:val="18"/>
    </w:rPr>
  </w:style>
  <w:style w:type="character" w:customStyle="1" w:styleId="style4097">
    <w:name w:val="页眉 Char"/>
    <w:basedOn w:val="style65"/>
    <w:next w:val="style4097"/>
    <w:link w:val="style31"/>
    <w:uiPriority w:val="99"/>
    <w:rPr>
      <w:sz w:val="18"/>
      <w:szCs w:val="18"/>
    </w:rPr>
  </w:style>
  <w:style w:type="paragraph" w:styleId="style32">
    <w:name w:val="footer"/>
    <w:basedOn w:val="style0"/>
    <w:next w:val="style32"/>
    <w:link w:val="style4098"/>
    <w:uiPriority w:val="99"/>
    <w:pPr>
      <w:tabs>
        <w:tab w:val="center" w:leader="none" w:pos="4153"/>
        <w:tab w:val="right" w:leader="none" w:pos="8306"/>
      </w:tabs>
      <w:snapToGrid w:val="false"/>
      <w:jc w:val="left"/>
    </w:pPr>
    <w:rPr>
      <w:sz w:val="18"/>
      <w:szCs w:val="18"/>
    </w:rPr>
  </w:style>
  <w:style w:type="character" w:customStyle="1" w:styleId="style4098">
    <w:name w:val="页脚 Char"/>
    <w:basedOn w:val="style65"/>
    <w:next w:val="style4098"/>
    <w:link w:val="style32"/>
    <w:uiPriority w:val="99"/>
    <w:rPr>
      <w:sz w:val="18"/>
      <w:szCs w:val="18"/>
    </w:rPr>
  </w:style>
  <w:style w:type="character" w:styleId="style39">
    <w:name w:val="annotation reference"/>
    <w:basedOn w:val="style65"/>
    <w:next w:val="style39"/>
    <w:uiPriority w:val="99"/>
    <w:rPr>
      <w:sz w:val="21"/>
      <w:szCs w:val="21"/>
    </w:rPr>
  </w:style>
  <w:style w:type="paragraph" w:styleId="style30">
    <w:name w:val="annotation text"/>
    <w:basedOn w:val="style0"/>
    <w:next w:val="style30"/>
    <w:link w:val="style4099"/>
    <w:uiPriority w:val="99"/>
    <w:pPr>
      <w:jc w:val="left"/>
    </w:pPr>
    <w:rPr/>
  </w:style>
  <w:style w:type="character" w:customStyle="1" w:styleId="style4099">
    <w:name w:val="批注文字 Char"/>
    <w:basedOn w:val="style65"/>
    <w:next w:val="style4099"/>
    <w:link w:val="style30"/>
    <w:uiPriority w:val="99"/>
  </w:style>
  <w:style w:type="paragraph" w:styleId="style106">
    <w:name w:val="annotation subject"/>
    <w:basedOn w:val="style30"/>
    <w:next w:val="style30"/>
    <w:link w:val="style4100"/>
    <w:uiPriority w:val="99"/>
    <w:pPr/>
    <w:rPr>
      <w:b/>
      <w:bCs/>
    </w:rPr>
  </w:style>
  <w:style w:type="character" w:customStyle="1" w:styleId="style4100">
    <w:name w:val="批注主题 Char"/>
    <w:basedOn w:val="style4099"/>
    <w:next w:val="style4100"/>
    <w:link w:val="style106"/>
    <w:uiPriority w:val="99"/>
    <w:rPr>
      <w:b/>
      <w:bCs/>
    </w:rPr>
  </w:style>
  <w:style w:type="paragraph" w:styleId="style153">
    <w:name w:val="Balloon Text"/>
    <w:basedOn w:val="style0"/>
    <w:next w:val="style153"/>
    <w:link w:val="style4101"/>
    <w:uiPriority w:val="99"/>
    <w:pPr/>
    <w:rPr>
      <w:sz w:val="18"/>
      <w:szCs w:val="18"/>
    </w:rPr>
  </w:style>
  <w:style w:type="character" w:customStyle="1" w:styleId="style4101">
    <w:name w:val="批注框文本 Char"/>
    <w:basedOn w:val="style65"/>
    <w:next w:val="style4101"/>
    <w:link w:val="style153"/>
    <w:uiPriority w:val="99"/>
    <w:rPr>
      <w:sz w:val="18"/>
      <w:szCs w:val="18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Words>1153</Words>
  <Pages>2</Pages>
  <Characters>1184</Characters>
  <Application>WPS Office</Application>
  <DocSecurity>0</DocSecurity>
  <Paragraphs>31</Paragraphs>
  <ScaleCrop>false</ScaleCrop>
  <LinksUpToDate>false</LinksUpToDate>
  <CharactersWithSpaces>1188</CharactersWithSpaces>
  <SharedDoc>false</SharedDoc>
  <HyperlinksChanged>false</HyperlinksChanged>
  <AppVersion>12.000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2023-02-08T08:54:00Z</dcterms:created>
  <dc:creator>丁 蕊</dc:creator>
  <lastModifiedBy>MAA-AN10</lastModifiedBy>
  <dcterms:modified xsi:type="dcterms:W3CDTF">2025-04-11T06:10:26Z</dcterms:modified>
  <revision>8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8415dd11bfaf46a8883103e346aa5e19_23</vt:lpwstr>
  </property>
</Properties>
</file>