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60" w:line="288" w:lineRule="auto"/>
        <w:rPr>
          <w:rFonts w:eastAsia="黑体"/>
        </w:rPr>
      </w:pPr>
      <w:r>
        <w:rPr>
          <w:rFonts w:hint="eastAsia" w:eastAsia="黑体"/>
        </w:rPr>
        <w:t>机构立项编号：                                         合同编号：</w:t>
      </w:r>
    </w:p>
    <w:p>
      <w:pPr>
        <w:spacing w:line="288" w:lineRule="auto"/>
        <w:jc w:val="center"/>
        <w:rPr>
          <w:rFonts w:ascii="黑体" w:eastAsia="黑体"/>
          <w:sz w:val="32"/>
        </w:rPr>
      </w:pPr>
      <w:commentRangeStart w:id="0"/>
      <w:r>
        <w:rPr>
          <w:rFonts w:hint="eastAsia" w:ascii="黑体" w:eastAsia="黑体"/>
          <w:sz w:val="32"/>
        </w:rPr>
        <w:t>药物/器械临床试验合同</w:t>
      </w:r>
      <w:commentRangeEnd w:id="0"/>
      <w:r>
        <w:rPr>
          <w:rStyle w:val="11"/>
        </w:rPr>
        <w:commentReference w:id="0"/>
      </w:r>
    </w:p>
    <w:p>
      <w:pPr>
        <w:spacing w:line="288" w:lineRule="auto"/>
        <w:rPr>
          <w:rFonts w:ascii="宋体" w:hAnsi="宋体"/>
          <w:szCs w:val="28"/>
          <w:u w:val="single"/>
        </w:rPr>
      </w:pPr>
      <w:r>
        <w:rPr>
          <w:rFonts w:ascii="宋体" w:hAnsi="宋体"/>
          <w:b/>
          <w:szCs w:val="28"/>
        </w:rPr>
        <w:t>项目名称</w:t>
      </w:r>
      <w:r>
        <w:rPr>
          <w:rFonts w:hint="eastAsia" w:ascii="宋体" w:hAnsi="宋体"/>
          <w:b/>
          <w:szCs w:val="28"/>
        </w:rPr>
        <w:t>：</w:t>
      </w:r>
    </w:p>
    <w:tbl>
      <w:tblPr>
        <w:tblStyle w:val="9"/>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775"/>
        <w:gridCol w:w="774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tcPr>
          <w:p>
            <w:pPr>
              <w:spacing w:line="288" w:lineRule="auto"/>
              <w:rPr>
                <w:rFonts w:ascii="宋体" w:hAnsi="宋体"/>
                <w:u w:val="single"/>
              </w:rPr>
            </w:pPr>
            <w:r>
              <w:rPr>
                <w:rFonts w:hint="eastAsia" w:ascii="宋体" w:hAnsi="宋体"/>
                <w:u w:val="single"/>
              </w:rPr>
              <w:t>药物</w:t>
            </w:r>
          </w:p>
        </w:tc>
        <w:tc>
          <w:tcPr>
            <w:tcW w:w="8471" w:type="dxa"/>
          </w:tcPr>
          <w:p>
            <w:pPr>
              <w:spacing w:line="288" w:lineRule="auto"/>
              <w:rPr>
                <w:rFonts w:ascii="宋体" w:hAnsi="宋体"/>
                <w:b/>
                <w:szCs w:val="21"/>
              </w:rPr>
            </w:pPr>
            <w:r>
              <w:rPr>
                <w:rFonts w:hint="eastAsia" w:ascii="宋体" w:hAnsi="宋体"/>
                <w:b/>
                <w:szCs w:val="21"/>
              </w:rPr>
              <w:t>注册分类:              注册国家：</w:t>
            </w:r>
          </w:p>
          <w:p>
            <w:pPr>
              <w:spacing w:line="288" w:lineRule="auto"/>
              <w:rPr>
                <w:rFonts w:ascii="宋体" w:hAnsi="宋体"/>
                <w:b/>
                <w:szCs w:val="21"/>
              </w:rPr>
            </w:pPr>
            <w:r>
              <w:rPr>
                <w:rFonts w:hint="eastAsia" w:ascii="宋体" w:hAnsi="宋体"/>
                <w:b/>
                <w:szCs w:val="21"/>
              </w:rPr>
              <w:t>试验类别：</w:t>
            </w:r>
            <w:r>
              <w:rPr>
                <w:rFonts w:hint="eastAsia" w:ascii="宋体" w:hAnsi="宋体"/>
                <w:b/>
                <w:szCs w:val="21"/>
              </w:rPr>
              <w:sym w:font="Wingdings 2" w:char="00A3"/>
            </w:r>
            <w:r>
              <w:rPr>
                <w:rFonts w:hint="eastAsia" w:ascii="宋体" w:hAnsi="宋体"/>
                <w:b/>
                <w:szCs w:val="21"/>
              </w:rPr>
              <w:t>国际多中心（代码          ）  □国内多中心    □单中心</w:t>
            </w:r>
          </w:p>
          <w:p>
            <w:pPr>
              <w:spacing w:line="288" w:lineRule="auto"/>
              <w:rPr>
                <w:rFonts w:ascii="宋体" w:hAnsi="宋体"/>
                <w:b/>
                <w:szCs w:val="21"/>
              </w:rPr>
            </w:pPr>
            <w:r>
              <w:rPr>
                <w:rFonts w:hint="eastAsia" w:ascii="宋体" w:hAnsi="宋体"/>
                <w:b/>
                <w:szCs w:val="21"/>
              </w:rPr>
              <w:t>试验分期：□BE   □PK   □</w:t>
            </w:r>
            <w:r>
              <w:rPr>
                <w:rFonts w:ascii="宋体" w:hAnsi="宋体"/>
                <w:b/>
                <w:szCs w:val="21"/>
              </w:rPr>
              <w:t>I</w:t>
            </w:r>
            <w:r>
              <w:rPr>
                <w:rFonts w:hint="eastAsia" w:ascii="宋体" w:hAnsi="宋体"/>
                <w:b/>
                <w:szCs w:val="21"/>
              </w:rPr>
              <w:t>期    □</w:t>
            </w:r>
            <w:r>
              <w:rPr>
                <w:rFonts w:ascii="宋体" w:hAnsi="宋体"/>
                <w:b/>
                <w:szCs w:val="21"/>
              </w:rPr>
              <w:t>II</w:t>
            </w:r>
            <w:r>
              <w:rPr>
                <w:rFonts w:hint="eastAsia" w:ascii="宋体" w:hAnsi="宋体"/>
                <w:b/>
                <w:szCs w:val="21"/>
              </w:rPr>
              <w:t>期    □</w:t>
            </w:r>
            <w:r>
              <w:rPr>
                <w:rFonts w:ascii="宋体" w:hAnsi="宋体"/>
                <w:b/>
                <w:szCs w:val="21"/>
              </w:rPr>
              <w:t>III</w:t>
            </w:r>
            <w:r>
              <w:rPr>
                <w:rFonts w:hint="eastAsia" w:ascii="宋体" w:hAnsi="宋体"/>
                <w:b/>
                <w:szCs w:val="21"/>
              </w:rPr>
              <w:t>期    □</w:t>
            </w:r>
            <w:r>
              <w:rPr>
                <w:rFonts w:ascii="宋体" w:hAnsi="宋体"/>
                <w:b/>
                <w:szCs w:val="21"/>
              </w:rPr>
              <w:t>IV</w:t>
            </w:r>
            <w:r>
              <w:rPr>
                <w:rFonts w:hint="eastAsia" w:ascii="宋体" w:hAnsi="宋体"/>
                <w:b/>
                <w:szCs w:val="21"/>
              </w:rPr>
              <w:t xml:space="preserve">期    </w:t>
            </w:r>
          </w:p>
          <w:p>
            <w:pPr>
              <w:spacing w:line="288" w:lineRule="auto"/>
              <w:rPr>
                <w:rFonts w:ascii="宋体" w:hAnsi="宋体"/>
                <w:u w:val="single"/>
              </w:rPr>
            </w:pPr>
            <w:r>
              <w:rPr>
                <w:rFonts w:hint="eastAsia" w:ascii="宋体" w:hAnsi="宋体"/>
                <w:b/>
                <w:szCs w:val="21"/>
              </w:rPr>
              <w:t>参与性质：□组长单位    □参加单位</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17" w:type="dxa"/>
          </w:tcPr>
          <w:p>
            <w:pPr>
              <w:spacing w:line="288" w:lineRule="auto"/>
              <w:rPr>
                <w:rFonts w:ascii="宋体" w:hAnsi="宋体"/>
                <w:u w:val="single"/>
              </w:rPr>
            </w:pPr>
            <w:r>
              <w:rPr>
                <w:rFonts w:hint="eastAsia" w:ascii="宋体" w:hAnsi="宋体"/>
                <w:u w:val="single"/>
              </w:rPr>
              <w:t>器械</w:t>
            </w:r>
          </w:p>
        </w:tc>
        <w:tc>
          <w:tcPr>
            <w:tcW w:w="8471" w:type="dxa"/>
          </w:tcPr>
          <w:p>
            <w:pPr>
              <w:spacing w:line="288" w:lineRule="auto"/>
              <w:rPr>
                <w:rFonts w:ascii="宋体" w:hAnsi="宋体"/>
                <w:u w:val="single"/>
              </w:rPr>
            </w:pPr>
            <w:r>
              <w:rPr>
                <w:rFonts w:hint="eastAsia" w:ascii="宋体" w:hAnsi="宋体"/>
                <w:b/>
                <w:szCs w:val="21"/>
              </w:rPr>
              <w:t>注册分类：</w:t>
            </w:r>
          </w:p>
          <w:p>
            <w:pPr>
              <w:spacing w:line="288" w:lineRule="auto"/>
              <w:rPr>
                <w:rFonts w:ascii="宋体" w:hAnsi="宋体"/>
                <w:u w:val="single"/>
              </w:rPr>
            </w:pPr>
            <w:r>
              <w:rPr>
                <w:rFonts w:hint="eastAsia" w:ascii="宋体" w:hAnsi="宋体"/>
                <w:b/>
                <w:szCs w:val="21"/>
              </w:rPr>
              <w:t>参与性质：□组长单位    □参加单位</w:t>
            </w:r>
          </w:p>
        </w:tc>
      </w:tr>
    </w:tbl>
    <w:p>
      <w:pPr>
        <w:spacing w:line="288" w:lineRule="auto"/>
        <w:rPr>
          <w:rFonts w:ascii="宋体" w:hAnsi="宋体"/>
          <w:u w:val="single"/>
        </w:rPr>
      </w:pPr>
    </w:p>
    <w:p>
      <w:pPr>
        <w:spacing w:line="288" w:lineRule="auto"/>
        <w:rPr>
          <w:rFonts w:ascii="宋体" w:hAnsi="宋体"/>
          <w:b/>
          <w:szCs w:val="21"/>
        </w:rPr>
      </w:pPr>
    </w:p>
    <w:p>
      <w:pPr>
        <w:spacing w:line="288" w:lineRule="auto"/>
        <w:rPr>
          <w:rFonts w:ascii="宋体" w:hAnsi="宋体"/>
          <w:b/>
          <w:szCs w:val="21"/>
        </w:rPr>
      </w:pPr>
      <w:r>
        <w:rPr>
          <w:rFonts w:ascii="宋体" w:hAnsi="宋体"/>
          <w:b/>
          <w:sz w:val="22"/>
          <w:szCs w:val="22"/>
        </w:rPr>
        <w:t>申办者</w:t>
      </w:r>
      <w:r>
        <w:rPr>
          <w:rFonts w:ascii="宋体" w:hAnsi="宋体"/>
          <w:b/>
          <w:szCs w:val="21"/>
        </w:rPr>
        <w:t>：</w:t>
      </w:r>
      <w:r>
        <w:rPr>
          <w:rFonts w:hint="eastAsia" w:ascii="宋体" w:hAnsi="宋体"/>
          <w:b/>
          <w:szCs w:val="21"/>
        </w:rPr>
        <w:t xml:space="preserve">              </w:t>
      </w:r>
    </w:p>
    <w:p>
      <w:pPr>
        <w:spacing w:line="288" w:lineRule="auto"/>
        <w:rPr>
          <w:rFonts w:ascii="宋体" w:hAnsi="宋体"/>
          <w:b/>
          <w:szCs w:val="21"/>
          <w:shd w:val="pct10" w:color="auto" w:fill="FFFFFF"/>
        </w:rPr>
      </w:pPr>
      <w:r>
        <w:rPr>
          <w:rFonts w:hint="eastAsia" w:ascii="宋体" w:hAnsi="宋体"/>
          <w:b/>
          <w:szCs w:val="21"/>
        </w:rPr>
        <w:t>注册</w:t>
      </w:r>
      <w:r>
        <w:rPr>
          <w:rFonts w:ascii="宋体" w:hAnsi="宋体"/>
          <w:b/>
          <w:szCs w:val="21"/>
        </w:rPr>
        <w:t>地址：</w:t>
      </w:r>
      <w:r>
        <w:rPr>
          <w:rFonts w:hint="eastAsia" w:ascii="宋体" w:hAnsi="宋体"/>
          <w:b/>
          <w:szCs w:val="21"/>
        </w:rPr>
        <w:t xml:space="preserve"> </w:t>
      </w:r>
      <w:r>
        <w:rPr>
          <w:rFonts w:ascii="宋体" w:hAnsi="宋体"/>
          <w:b/>
          <w:szCs w:val="21"/>
        </w:rPr>
        <w:t xml:space="preserve">                             邮政编码：</w:t>
      </w:r>
    </w:p>
    <w:p>
      <w:pPr>
        <w:spacing w:line="288" w:lineRule="auto"/>
        <w:rPr>
          <w:rFonts w:ascii="宋体" w:hAnsi="宋体"/>
          <w:b/>
          <w:szCs w:val="21"/>
        </w:rPr>
      </w:pPr>
      <w:r>
        <w:rPr>
          <w:rFonts w:ascii="宋体" w:hAnsi="宋体"/>
          <w:b/>
          <w:szCs w:val="21"/>
        </w:rPr>
        <w:t>法</w:t>
      </w:r>
      <w:r>
        <w:rPr>
          <w:rFonts w:hint="eastAsia" w:ascii="宋体" w:hAnsi="宋体"/>
          <w:b/>
          <w:szCs w:val="21"/>
        </w:rPr>
        <w:t>定代表</w:t>
      </w:r>
      <w:r>
        <w:rPr>
          <w:rFonts w:ascii="宋体" w:hAnsi="宋体"/>
          <w:b/>
          <w:szCs w:val="21"/>
        </w:rPr>
        <w:t>人：</w:t>
      </w:r>
      <w:r>
        <w:rPr>
          <w:rFonts w:hint="eastAsia" w:ascii="宋体" w:hAnsi="宋体"/>
          <w:b/>
          <w:szCs w:val="21"/>
        </w:rPr>
        <w:t xml:space="preserve">          </w:t>
      </w:r>
    </w:p>
    <w:p>
      <w:pPr>
        <w:spacing w:line="288" w:lineRule="auto"/>
        <w:rPr>
          <w:rFonts w:ascii="宋体" w:hAnsi="宋体"/>
          <w:b/>
          <w:szCs w:val="21"/>
        </w:rPr>
      </w:pPr>
      <w:r>
        <w:rPr>
          <w:rFonts w:ascii="宋体" w:hAnsi="宋体"/>
          <w:b/>
          <w:szCs w:val="21"/>
        </w:rPr>
        <w:t>项目负责人：</w:t>
      </w:r>
      <w:r>
        <w:rPr>
          <w:rFonts w:hint="eastAsia" w:ascii="宋体" w:hAnsi="宋体"/>
          <w:b/>
          <w:szCs w:val="21"/>
        </w:rPr>
        <w:t xml:space="preserve">             </w:t>
      </w:r>
      <w:r>
        <w:rPr>
          <w:rFonts w:ascii="宋体" w:hAnsi="宋体"/>
          <w:b/>
          <w:szCs w:val="21"/>
        </w:rPr>
        <w:t xml:space="preserve">               E-mail：</w:t>
      </w:r>
    </w:p>
    <w:p>
      <w:pPr>
        <w:spacing w:line="288" w:lineRule="auto"/>
        <w:rPr>
          <w:rFonts w:ascii="宋体" w:hAnsi="宋体"/>
          <w:b/>
          <w:szCs w:val="21"/>
        </w:rPr>
      </w:pPr>
      <w:r>
        <w:rPr>
          <w:rFonts w:ascii="宋体" w:hAnsi="宋体"/>
          <w:b/>
          <w:szCs w:val="21"/>
        </w:rPr>
        <w:t>联系电话：</w:t>
      </w:r>
      <w:r>
        <w:rPr>
          <w:rFonts w:hint="eastAsia" w:ascii="宋体" w:hAnsi="宋体"/>
          <w:b/>
          <w:szCs w:val="21"/>
        </w:rPr>
        <w:t xml:space="preserve">     </w:t>
      </w:r>
      <w:r>
        <w:rPr>
          <w:rFonts w:ascii="宋体" w:hAnsi="宋体"/>
          <w:b/>
          <w:szCs w:val="21"/>
        </w:rPr>
        <w:t xml:space="preserve">       </w:t>
      </w:r>
      <w:r>
        <w:rPr>
          <w:rFonts w:hint="eastAsia" w:ascii="宋体" w:hAnsi="宋体"/>
          <w:b/>
          <w:szCs w:val="21"/>
        </w:rPr>
        <w:t xml:space="preserve">    </w:t>
      </w:r>
      <w:r>
        <w:rPr>
          <w:rFonts w:ascii="宋体" w:hAnsi="宋体"/>
          <w:b/>
          <w:szCs w:val="21"/>
        </w:rPr>
        <w:t xml:space="preserve">              传真：</w:t>
      </w:r>
      <w:r>
        <w:rPr>
          <w:rFonts w:hint="eastAsia" w:ascii="宋体" w:hAnsi="宋体"/>
          <w:b/>
          <w:szCs w:val="21"/>
        </w:rPr>
        <w:t xml:space="preserve">                   </w:t>
      </w:r>
    </w:p>
    <w:p>
      <w:pPr>
        <w:spacing w:line="288" w:lineRule="auto"/>
        <w:rPr>
          <w:rFonts w:ascii="宋体" w:hAnsi="宋体"/>
          <w:szCs w:val="21"/>
        </w:rPr>
      </w:pPr>
    </w:p>
    <w:p>
      <w:pPr>
        <w:spacing w:line="288" w:lineRule="auto"/>
        <w:rPr>
          <w:rFonts w:ascii="宋体" w:hAnsi="宋体"/>
          <w:b/>
          <w:szCs w:val="21"/>
        </w:rPr>
      </w:pPr>
      <w:r>
        <w:rPr>
          <w:rFonts w:hint="eastAsia" w:ascii="宋体" w:hAnsi="宋体"/>
          <w:b/>
          <w:sz w:val="22"/>
          <w:szCs w:val="22"/>
        </w:rPr>
        <w:t>CRO</w:t>
      </w:r>
      <w:r>
        <w:rPr>
          <w:rFonts w:ascii="宋体" w:hAnsi="宋体"/>
          <w:b/>
          <w:szCs w:val="21"/>
        </w:rPr>
        <w:t>：</w:t>
      </w:r>
      <w:r>
        <w:rPr>
          <w:rFonts w:hint="eastAsia" w:ascii="宋体" w:hAnsi="宋体"/>
          <w:b/>
          <w:szCs w:val="21"/>
        </w:rPr>
        <w:t xml:space="preserve">                 </w:t>
      </w:r>
    </w:p>
    <w:p>
      <w:pPr>
        <w:spacing w:line="288" w:lineRule="auto"/>
        <w:rPr>
          <w:rFonts w:ascii="宋体" w:hAnsi="宋体"/>
          <w:b/>
          <w:szCs w:val="21"/>
          <w:shd w:val="pct10" w:color="auto" w:fill="FFFFFF"/>
        </w:rPr>
      </w:pPr>
      <w:r>
        <w:rPr>
          <w:rFonts w:hint="eastAsia" w:ascii="宋体" w:hAnsi="宋体"/>
          <w:b/>
          <w:szCs w:val="21"/>
        </w:rPr>
        <w:t>注册</w:t>
      </w:r>
      <w:r>
        <w:rPr>
          <w:rFonts w:ascii="宋体" w:hAnsi="宋体"/>
          <w:b/>
          <w:szCs w:val="21"/>
        </w:rPr>
        <w:t>地址：</w:t>
      </w:r>
      <w:r>
        <w:rPr>
          <w:rFonts w:hint="eastAsia" w:ascii="宋体" w:hAnsi="宋体"/>
          <w:b/>
          <w:szCs w:val="21"/>
        </w:rPr>
        <w:t xml:space="preserve"> </w:t>
      </w:r>
      <w:r>
        <w:rPr>
          <w:rFonts w:ascii="宋体" w:hAnsi="宋体"/>
          <w:b/>
          <w:szCs w:val="21"/>
        </w:rPr>
        <w:t xml:space="preserve">                             邮政编码：</w:t>
      </w:r>
    </w:p>
    <w:p>
      <w:pPr>
        <w:spacing w:line="288" w:lineRule="auto"/>
        <w:rPr>
          <w:rFonts w:ascii="宋体" w:hAnsi="宋体"/>
          <w:b/>
          <w:szCs w:val="21"/>
        </w:rPr>
      </w:pPr>
      <w:r>
        <w:rPr>
          <w:rFonts w:ascii="宋体" w:hAnsi="宋体"/>
          <w:b/>
          <w:szCs w:val="21"/>
        </w:rPr>
        <w:t>法</w:t>
      </w:r>
      <w:r>
        <w:rPr>
          <w:rFonts w:hint="eastAsia" w:ascii="宋体" w:hAnsi="宋体"/>
          <w:b/>
          <w:szCs w:val="21"/>
        </w:rPr>
        <w:t>定代表</w:t>
      </w:r>
      <w:r>
        <w:rPr>
          <w:rFonts w:ascii="宋体" w:hAnsi="宋体"/>
          <w:b/>
          <w:szCs w:val="21"/>
        </w:rPr>
        <w:t>人：</w:t>
      </w:r>
      <w:r>
        <w:rPr>
          <w:rFonts w:hint="eastAsia" w:ascii="宋体" w:hAnsi="宋体"/>
          <w:b/>
          <w:szCs w:val="21"/>
        </w:rPr>
        <w:t xml:space="preserve">          </w:t>
      </w:r>
    </w:p>
    <w:p>
      <w:pPr>
        <w:spacing w:line="288" w:lineRule="auto"/>
        <w:rPr>
          <w:rFonts w:ascii="宋体" w:hAnsi="宋体"/>
          <w:b/>
          <w:szCs w:val="21"/>
        </w:rPr>
      </w:pPr>
      <w:r>
        <w:rPr>
          <w:rFonts w:ascii="宋体" w:hAnsi="宋体"/>
          <w:b/>
          <w:szCs w:val="21"/>
        </w:rPr>
        <w:t>项目负责人：</w:t>
      </w:r>
      <w:r>
        <w:rPr>
          <w:rFonts w:hint="eastAsia" w:ascii="宋体" w:hAnsi="宋体"/>
          <w:b/>
          <w:szCs w:val="21"/>
        </w:rPr>
        <w:t xml:space="preserve">              </w:t>
      </w:r>
      <w:r>
        <w:rPr>
          <w:rFonts w:ascii="宋体" w:hAnsi="宋体"/>
          <w:b/>
          <w:szCs w:val="21"/>
        </w:rPr>
        <w:t xml:space="preserve">              E-mail：</w:t>
      </w:r>
    </w:p>
    <w:p>
      <w:pPr>
        <w:spacing w:line="288" w:lineRule="auto"/>
        <w:rPr>
          <w:rFonts w:ascii="宋体" w:hAnsi="宋体"/>
          <w:b/>
          <w:szCs w:val="21"/>
        </w:rPr>
      </w:pPr>
      <w:r>
        <w:rPr>
          <w:rFonts w:ascii="宋体" w:hAnsi="宋体"/>
          <w:b/>
          <w:szCs w:val="21"/>
        </w:rPr>
        <w:t>联系电话：</w:t>
      </w:r>
      <w:r>
        <w:rPr>
          <w:rFonts w:hint="eastAsia" w:ascii="宋体" w:hAnsi="宋体"/>
          <w:b/>
          <w:szCs w:val="21"/>
        </w:rPr>
        <w:t xml:space="preserve">      </w:t>
      </w:r>
      <w:r>
        <w:rPr>
          <w:rFonts w:ascii="宋体" w:hAnsi="宋体"/>
          <w:b/>
          <w:szCs w:val="21"/>
        </w:rPr>
        <w:t xml:space="preserve">                        传真：</w:t>
      </w:r>
      <w:r>
        <w:rPr>
          <w:rFonts w:hint="eastAsia" w:ascii="宋体" w:hAnsi="宋体"/>
          <w:b/>
          <w:szCs w:val="21"/>
        </w:rPr>
        <w:t xml:space="preserve">                  </w:t>
      </w:r>
    </w:p>
    <w:p>
      <w:pPr>
        <w:spacing w:line="288" w:lineRule="auto"/>
        <w:rPr>
          <w:rFonts w:ascii="宋体" w:hAnsi="宋体"/>
        </w:rPr>
      </w:pPr>
    </w:p>
    <w:p>
      <w:pPr>
        <w:spacing w:line="288" w:lineRule="auto"/>
        <w:rPr>
          <w:rFonts w:ascii="宋体" w:hAnsi="宋体"/>
          <w:b/>
          <w:szCs w:val="21"/>
        </w:rPr>
      </w:pPr>
      <w:r>
        <w:rPr>
          <w:rFonts w:ascii="宋体" w:hAnsi="宋体"/>
          <w:b/>
          <w:sz w:val="22"/>
          <w:szCs w:val="22"/>
        </w:rPr>
        <w:t>临床</w:t>
      </w:r>
      <w:r>
        <w:rPr>
          <w:rFonts w:hint="eastAsia" w:ascii="宋体" w:hAnsi="宋体"/>
          <w:b/>
          <w:sz w:val="22"/>
          <w:szCs w:val="22"/>
        </w:rPr>
        <w:t>试验机构</w:t>
      </w:r>
      <w:r>
        <w:rPr>
          <w:rFonts w:ascii="宋体" w:hAnsi="宋体"/>
          <w:b/>
          <w:szCs w:val="21"/>
        </w:rPr>
        <w:t xml:space="preserve">： </w:t>
      </w:r>
      <w:r>
        <w:rPr>
          <w:rFonts w:hint="eastAsia" w:ascii="宋体" w:hAnsi="宋体"/>
          <w:b/>
          <w:szCs w:val="21"/>
        </w:rPr>
        <w:t>首都医科大学附属北京地坛医院</w:t>
      </w:r>
    </w:p>
    <w:p>
      <w:pPr>
        <w:spacing w:line="288" w:lineRule="auto"/>
        <w:rPr>
          <w:rFonts w:ascii="宋体" w:hAnsi="宋体"/>
          <w:b/>
          <w:szCs w:val="21"/>
        </w:rPr>
      </w:pPr>
      <w:r>
        <w:rPr>
          <w:rFonts w:ascii="宋体" w:hAnsi="宋体"/>
          <w:b/>
          <w:szCs w:val="21"/>
        </w:rPr>
        <w:t>地址：</w:t>
      </w:r>
      <w:r>
        <w:rPr>
          <w:rFonts w:hint="eastAsia" w:ascii="宋体" w:hAnsi="宋体"/>
          <w:b/>
          <w:szCs w:val="21"/>
        </w:rPr>
        <w:t>北京市朝阳区京顺东街8号，北京市顺义区</w:t>
      </w:r>
      <w:r>
        <w:rPr>
          <w:rFonts w:ascii="宋体" w:hAnsi="宋体"/>
          <w:b/>
          <w:szCs w:val="21"/>
        </w:rPr>
        <w:t>南孙路李遂段799号</w:t>
      </w:r>
    </w:p>
    <w:p>
      <w:pPr>
        <w:spacing w:line="288" w:lineRule="auto"/>
        <w:rPr>
          <w:rFonts w:ascii="宋体" w:hAnsi="宋体"/>
          <w:szCs w:val="21"/>
        </w:rPr>
      </w:pPr>
      <w:r>
        <w:rPr>
          <w:rFonts w:ascii="宋体" w:hAnsi="宋体"/>
          <w:b/>
          <w:szCs w:val="21"/>
        </w:rPr>
        <w:t>联系</w:t>
      </w:r>
      <w:r>
        <w:rPr>
          <w:rFonts w:hint="eastAsia" w:ascii="宋体" w:hAnsi="宋体"/>
          <w:b/>
          <w:szCs w:val="21"/>
        </w:rPr>
        <w:t xml:space="preserve">电话：010-84322133                  </w:t>
      </w:r>
      <w:r>
        <w:rPr>
          <w:rFonts w:ascii="宋体" w:hAnsi="宋体"/>
          <w:b/>
          <w:szCs w:val="21"/>
        </w:rPr>
        <w:t>E-mail</w:t>
      </w:r>
      <w:r>
        <w:rPr>
          <w:rFonts w:hint="eastAsia" w:ascii="宋体" w:hAnsi="宋体"/>
          <w:b/>
          <w:szCs w:val="21"/>
        </w:rPr>
        <w:t>：dtyygcp@163.com</w:t>
      </w:r>
    </w:p>
    <w:p>
      <w:pPr>
        <w:spacing w:line="288" w:lineRule="auto"/>
        <w:rPr>
          <w:rFonts w:ascii="宋体" w:hAnsi="宋体"/>
        </w:rPr>
      </w:pPr>
    </w:p>
    <w:p>
      <w:pPr>
        <w:spacing w:line="288" w:lineRule="auto"/>
        <w:rPr>
          <w:rFonts w:ascii="宋体" w:hAnsi="宋体"/>
          <w:b/>
          <w:szCs w:val="21"/>
          <w:shd w:val="pct10" w:color="auto" w:fill="FFFFFF"/>
        </w:rPr>
      </w:pPr>
      <w:r>
        <w:rPr>
          <w:rFonts w:hint="eastAsia" w:ascii="宋体" w:hAnsi="宋体"/>
          <w:b/>
          <w:sz w:val="22"/>
          <w:szCs w:val="22"/>
        </w:rPr>
        <w:t>主要研究者</w:t>
      </w:r>
      <w:r>
        <w:rPr>
          <w:rFonts w:hint="eastAsia" w:ascii="宋体" w:hAnsi="宋体"/>
          <w:b/>
          <w:szCs w:val="21"/>
        </w:rPr>
        <w:t xml:space="preserve">：      </w:t>
      </w:r>
      <w:r>
        <w:rPr>
          <w:rFonts w:ascii="宋体" w:hAnsi="宋体"/>
          <w:b/>
          <w:szCs w:val="21"/>
        </w:rPr>
        <w:t xml:space="preserve">     </w:t>
      </w:r>
    </w:p>
    <w:p>
      <w:pPr>
        <w:spacing w:line="288" w:lineRule="auto"/>
        <w:rPr>
          <w:rFonts w:ascii="宋体" w:hAnsi="宋体"/>
          <w:szCs w:val="21"/>
        </w:rPr>
      </w:pPr>
      <w:r>
        <w:rPr>
          <w:rFonts w:ascii="宋体" w:hAnsi="宋体"/>
          <w:b/>
          <w:szCs w:val="21"/>
        </w:rPr>
        <w:t>联系电话：</w:t>
      </w:r>
      <w:r>
        <w:rPr>
          <w:rFonts w:hint="eastAsia" w:ascii="宋体" w:hAnsi="宋体"/>
          <w:b/>
          <w:szCs w:val="21"/>
        </w:rPr>
        <w:t xml:space="preserve">                              </w:t>
      </w:r>
      <w:r>
        <w:rPr>
          <w:rFonts w:ascii="宋体" w:hAnsi="宋体"/>
          <w:b/>
          <w:szCs w:val="21"/>
        </w:rPr>
        <w:t>E-mail：</w:t>
      </w:r>
    </w:p>
    <w:p>
      <w:pPr>
        <w:spacing w:line="288" w:lineRule="auto"/>
        <w:rPr>
          <w:rFonts w:ascii="宋体" w:hAnsi="宋体"/>
          <w:b/>
        </w:rPr>
      </w:pPr>
    </w:p>
    <w:p>
      <w:pPr>
        <w:spacing w:line="360" w:lineRule="auto"/>
        <w:rPr>
          <w:rFonts w:ascii="宋体" w:hAnsi="宋体"/>
          <w:b/>
          <w:sz w:val="24"/>
          <w:u w:val="single"/>
        </w:rPr>
      </w:pPr>
      <w:r>
        <w:rPr>
          <w:rFonts w:ascii="宋体" w:hAnsi="宋体"/>
          <w:b/>
          <w:sz w:val="24"/>
        </w:rPr>
        <w:t>委 托 方：申办者：</w:t>
      </w:r>
      <w:r>
        <w:rPr>
          <w:rFonts w:ascii="宋体" w:hAnsi="宋体"/>
          <w:b/>
          <w:bCs w:val="0"/>
          <w:sz w:val="24"/>
          <w:u w:val="single"/>
        </w:rPr>
        <w:t xml:space="preserve">     </w:t>
      </w:r>
      <w:r>
        <w:rPr>
          <w:rFonts w:hint="eastAsia" w:ascii="宋体" w:hAnsi="宋体"/>
          <w:b/>
          <w:bCs w:val="0"/>
          <w:sz w:val="24"/>
          <w:u w:val="single"/>
        </w:rPr>
        <w:t xml:space="preserve">                                     </w:t>
      </w:r>
    </w:p>
    <w:p>
      <w:pPr>
        <w:spacing w:line="360" w:lineRule="auto"/>
        <w:rPr>
          <w:rFonts w:ascii="宋体" w:hAnsi="宋体"/>
          <w:b/>
          <w:sz w:val="24"/>
        </w:rPr>
      </w:pPr>
    </w:p>
    <w:p>
      <w:pPr>
        <w:spacing w:line="360" w:lineRule="auto"/>
        <w:ind w:firstLine="1205" w:firstLineChars="500"/>
        <w:rPr>
          <w:rFonts w:ascii="宋体" w:hAnsi="宋体"/>
          <w:b/>
          <w:sz w:val="24"/>
          <w:u w:val="single"/>
        </w:rPr>
      </w:pPr>
      <w:r>
        <w:rPr>
          <w:rFonts w:ascii="宋体" w:hAnsi="宋体"/>
          <w:b/>
          <w:sz w:val="24"/>
        </w:rPr>
        <w:t>CRO</w:t>
      </w:r>
      <w:r>
        <w:rPr>
          <w:rFonts w:hint="eastAsia" w:ascii="宋体" w:hAnsi="宋体"/>
          <w:b/>
          <w:sz w:val="24"/>
        </w:rPr>
        <w:t>（若适用）</w:t>
      </w:r>
      <w:r>
        <w:rPr>
          <w:rFonts w:ascii="宋体" w:hAnsi="宋体"/>
          <w:b/>
          <w:sz w:val="24"/>
        </w:rPr>
        <w:t>:</w:t>
      </w:r>
      <w:r>
        <w:rPr>
          <w:rFonts w:ascii="宋体" w:hAnsi="宋体"/>
          <w:b/>
          <w:sz w:val="24"/>
          <w:u w:val="single"/>
        </w:rPr>
        <w:t>____________________________________</w:t>
      </w:r>
    </w:p>
    <w:p>
      <w:pPr>
        <w:spacing w:line="360" w:lineRule="auto"/>
        <w:rPr>
          <w:rFonts w:ascii="宋体" w:hAnsi="宋体"/>
          <w:b/>
          <w:sz w:val="24"/>
          <w:u w:val="single"/>
        </w:rPr>
      </w:pPr>
    </w:p>
    <w:p>
      <w:pPr>
        <w:spacing w:line="360" w:lineRule="auto"/>
        <w:rPr>
          <w:rFonts w:ascii="宋体" w:hAnsi="宋体"/>
          <w:b/>
          <w:sz w:val="24"/>
          <w:u w:val="single"/>
        </w:rPr>
      </w:pPr>
      <w:r>
        <w:rPr>
          <w:rFonts w:ascii="宋体" w:hAnsi="宋体"/>
          <w:b/>
          <w:sz w:val="24"/>
        </w:rPr>
        <w:t>受</w:t>
      </w:r>
      <w:r>
        <w:rPr>
          <w:rFonts w:hint="eastAsia" w:ascii="宋体" w:hAnsi="宋体"/>
          <w:b/>
          <w:sz w:val="24"/>
        </w:rPr>
        <w:t xml:space="preserve"> </w:t>
      </w:r>
      <w:r>
        <w:rPr>
          <w:rFonts w:ascii="宋体" w:hAnsi="宋体"/>
          <w:b/>
          <w:sz w:val="24"/>
        </w:rPr>
        <w:t>托</w:t>
      </w:r>
      <w:r>
        <w:rPr>
          <w:rFonts w:hint="eastAsia" w:ascii="宋体" w:hAnsi="宋体"/>
          <w:b/>
          <w:sz w:val="24"/>
        </w:rPr>
        <w:t xml:space="preserve"> </w:t>
      </w:r>
      <w:r>
        <w:rPr>
          <w:rFonts w:ascii="宋体" w:hAnsi="宋体"/>
          <w:b/>
          <w:sz w:val="24"/>
        </w:rPr>
        <w:t>方：</w:t>
      </w:r>
      <w:r>
        <w:rPr>
          <w:rFonts w:hint="eastAsia" w:ascii="宋体" w:hAnsi="宋体"/>
          <w:b/>
          <w:sz w:val="24"/>
          <w:u w:val="single"/>
        </w:rPr>
        <w:t>首都医科大学附属北京地坛</w:t>
      </w:r>
      <w:r>
        <w:rPr>
          <w:rFonts w:ascii="宋体" w:hAnsi="宋体"/>
          <w:b/>
          <w:sz w:val="24"/>
          <w:u w:val="single"/>
        </w:rPr>
        <w:t>医院</w:t>
      </w:r>
    </w:p>
    <w:p>
      <w:pPr>
        <w:spacing w:line="360" w:lineRule="auto"/>
        <w:rPr>
          <w:rFonts w:ascii="宋体" w:hAnsi="宋体"/>
          <w:b/>
          <w:u w:val="single"/>
        </w:rPr>
      </w:pPr>
    </w:p>
    <w:p>
      <w:pPr>
        <w:pStyle w:val="3"/>
        <w:widowControl/>
        <w:spacing w:line="360" w:lineRule="auto"/>
        <w:ind w:firstLine="480" w:firstLineChars="200"/>
        <w:rPr>
          <w:rFonts w:hAnsi="宋体" w:cs="宋体"/>
          <w:color w:val="000000"/>
          <w:sz w:val="24"/>
          <w:szCs w:val="24"/>
        </w:rPr>
      </w:pPr>
      <w:r>
        <w:rPr>
          <w:rFonts w:hAnsi="宋体" w:cs="宋体"/>
          <w:color w:val="000000"/>
          <w:sz w:val="24"/>
          <w:szCs w:val="24"/>
          <w:highlight w:val="yellow"/>
        </w:rPr>
        <w:t>双方</w:t>
      </w:r>
      <w:r>
        <w:rPr>
          <w:rFonts w:hint="eastAsia" w:hAnsi="宋体" w:cs="宋体"/>
          <w:color w:val="000000"/>
          <w:sz w:val="24"/>
          <w:szCs w:val="24"/>
          <w:highlight w:val="yellow"/>
        </w:rPr>
        <w:t>（或各方）</w:t>
      </w:r>
      <w:r>
        <w:rPr>
          <w:rFonts w:hAnsi="宋体" w:cs="宋体"/>
          <w:color w:val="000000"/>
          <w:sz w:val="24"/>
          <w:szCs w:val="24"/>
        </w:rPr>
        <w:t>依据《中华人民共和国</w:t>
      </w:r>
      <w:r>
        <w:rPr>
          <w:rFonts w:hint="eastAsia" w:hAnsi="宋体" w:cs="宋体"/>
          <w:color w:val="000000"/>
          <w:sz w:val="24"/>
          <w:szCs w:val="24"/>
        </w:rPr>
        <w:t>民法典</w:t>
      </w:r>
      <w:r>
        <w:rPr>
          <w:rFonts w:hAnsi="宋体" w:cs="宋体"/>
          <w:color w:val="000000"/>
          <w:sz w:val="24"/>
          <w:szCs w:val="24"/>
        </w:rPr>
        <w:t>》、</w:t>
      </w:r>
      <w:r>
        <w:rPr>
          <w:rFonts w:hint="eastAsia" w:hAnsi="宋体" w:cs="宋体"/>
          <w:color w:val="000000"/>
          <w:sz w:val="24"/>
          <w:szCs w:val="24"/>
        </w:rPr>
        <w:t>《世界医学协会赫尔辛基宣言》、</w:t>
      </w:r>
      <w:r>
        <w:rPr>
          <w:rFonts w:hint="eastAsia" w:hAnsi="宋体" w:cs="宋体"/>
          <w:color w:val="000000"/>
          <w:sz w:val="24"/>
          <w:szCs w:val="24"/>
          <w:highlight w:val="yellow"/>
        </w:rPr>
        <w:t>《药物临床试验质量管理规范》</w:t>
      </w:r>
      <w:r>
        <w:rPr>
          <w:rFonts w:hint="eastAsia" w:hAnsi="宋体" w:cs="宋体"/>
          <w:color w:val="000000"/>
          <w:sz w:val="24"/>
          <w:szCs w:val="24"/>
          <w:highlight w:val="yellow"/>
          <w:shd w:val="clear" w:color="auto" w:fill="FFFFFF"/>
        </w:rPr>
        <w:t>/</w:t>
      </w:r>
      <w:r>
        <w:rPr>
          <w:rFonts w:hint="eastAsia" w:hAnsi="宋体" w:cs="宋体"/>
          <w:color w:val="000000"/>
          <w:sz w:val="24"/>
          <w:szCs w:val="24"/>
          <w:highlight w:val="yellow"/>
        </w:rPr>
        <w:t>《医疗器械临床试验质量管理规范》</w:t>
      </w:r>
      <w:r>
        <w:rPr>
          <w:rFonts w:hint="eastAsia" w:hAnsi="宋体" w:cs="宋体"/>
          <w:color w:val="000000"/>
          <w:sz w:val="24"/>
          <w:szCs w:val="24"/>
        </w:rPr>
        <w:t>等现行法律法规以及《临床试验方案》，在平等自愿、协商一致的基础上，签订本合同以共同遵守。</w:t>
      </w:r>
    </w:p>
    <w:p>
      <w:pPr>
        <w:spacing w:line="288" w:lineRule="auto"/>
        <w:rPr>
          <w:rFonts w:ascii="宋体" w:hAnsi="宋体"/>
          <w:i/>
          <w:color w:val="FF0000"/>
          <w:szCs w:val="21"/>
        </w:rPr>
      </w:pPr>
    </w:p>
    <w:p>
      <w:pPr>
        <w:spacing w:before="156" w:beforeLines="50" w:line="288" w:lineRule="auto"/>
        <w:outlineLvl w:val="0"/>
        <w:rPr>
          <w:b/>
          <w:sz w:val="24"/>
        </w:rPr>
      </w:pPr>
      <w:r>
        <w:rPr>
          <w:rFonts w:hint="eastAsia"/>
          <w:b/>
          <w:sz w:val="24"/>
        </w:rPr>
        <w:t>第一条  委托范围：</w:t>
      </w:r>
    </w:p>
    <w:p>
      <w:pPr>
        <w:numPr>
          <w:ilvl w:val="255"/>
          <w:numId w:val="0"/>
        </w:numPr>
        <w:spacing w:before="156" w:beforeLines="50" w:line="288" w:lineRule="auto"/>
        <w:ind w:firstLine="480" w:firstLineChars="200"/>
        <w:rPr>
          <w:b/>
          <w:sz w:val="24"/>
        </w:rPr>
      </w:pPr>
      <w:r>
        <w:rPr>
          <w:rFonts w:hint="eastAsia"/>
          <w:bCs/>
          <w:sz w:val="24"/>
        </w:rPr>
        <w:t>受托方将依据名为“             ”的方案【方案版本号：         】开展一项临床试验，从而对申办者研制的__________试验药物/器械进行临床试验。</w:t>
      </w:r>
    </w:p>
    <w:p>
      <w:pPr>
        <w:spacing w:before="156" w:beforeLines="50" w:line="288" w:lineRule="auto"/>
        <w:rPr>
          <w:sz w:val="24"/>
        </w:rPr>
      </w:pPr>
    </w:p>
    <w:p>
      <w:pPr>
        <w:spacing w:before="156" w:beforeLines="50" w:line="288" w:lineRule="auto"/>
        <w:outlineLvl w:val="0"/>
        <w:rPr>
          <w:b/>
          <w:sz w:val="24"/>
        </w:rPr>
      </w:pPr>
      <w:r>
        <w:rPr>
          <w:rFonts w:hint="eastAsia"/>
          <w:b/>
          <w:sz w:val="24"/>
        </w:rPr>
        <w:t>第二条  委托时间：</w:t>
      </w:r>
    </w:p>
    <w:p>
      <w:pPr>
        <w:spacing w:before="156" w:beforeLines="50" w:line="360" w:lineRule="auto"/>
        <w:ind w:firstLine="480" w:firstLineChars="200"/>
        <w:rPr>
          <w:sz w:val="24"/>
        </w:rPr>
      </w:pPr>
      <w:r>
        <w:rPr>
          <w:rFonts w:hint="eastAsia"/>
          <w:bCs/>
          <w:sz w:val="24"/>
        </w:rPr>
        <w:t>在合同正式签定，获得首都医科大学附属北京地坛医院伦理委员会批准件，各种试验相关文件、人遗批准文件、试验用药物或器械、研究经费、所有临床研究所需物资等到位后，受托方开始在首都医科大学附属北京地坛医院______________专业内进行临床试验。</w:t>
      </w:r>
      <w:r>
        <w:rPr>
          <w:rFonts w:hint="eastAsia"/>
          <w:sz w:val="24"/>
        </w:rPr>
        <w:t>本合同自各方全部签字并盖章之日起生效，预计结束日期：_______年_______月_______日。</w:t>
      </w:r>
    </w:p>
    <w:p>
      <w:pPr>
        <w:spacing w:line="288" w:lineRule="auto"/>
        <w:ind w:firstLine="480" w:firstLineChars="200"/>
        <w:rPr>
          <w:sz w:val="24"/>
        </w:rPr>
      </w:pPr>
    </w:p>
    <w:p>
      <w:pPr>
        <w:spacing w:before="156" w:beforeLines="50" w:line="288" w:lineRule="auto"/>
        <w:outlineLvl w:val="0"/>
        <w:rPr>
          <w:rFonts w:ascii="宋体" w:hAnsi="宋体"/>
          <w:b/>
          <w:sz w:val="24"/>
        </w:rPr>
      </w:pPr>
      <w:r>
        <w:rPr>
          <w:rFonts w:hint="eastAsia" w:ascii="宋体" w:hAnsi="宋体"/>
          <w:b/>
          <w:sz w:val="24"/>
        </w:rPr>
        <w:t>第三条  合同金额及付款方式：最终根据实际入组情况确认结算金额</w:t>
      </w:r>
    </w:p>
    <w:p>
      <w:pPr>
        <w:widowControl/>
        <w:spacing w:line="360" w:lineRule="auto"/>
        <w:ind w:firstLine="480" w:firstLineChars="200"/>
        <w:rPr>
          <w:rFonts w:ascii="宋体" w:hAnsi="宋体"/>
          <w:b/>
          <w:sz w:val="24"/>
        </w:rPr>
      </w:pPr>
      <w:r>
        <w:rPr>
          <w:rFonts w:hint="eastAsia" w:ascii="宋体" w:hAnsi="宋体"/>
          <w:bCs/>
          <w:sz w:val="24"/>
        </w:rPr>
        <w:t>该试验总设计例数为_______例，委托方计划委托受托方入组_______例，具体入组例数以最终实际入组数为准。若试验期间遇到国家价格调整，涉及的收费项目从调整之日起执行新价格标准。</w:t>
      </w:r>
    </w:p>
    <w:p>
      <w:pPr>
        <w:widowControl/>
        <w:numPr>
          <w:ilvl w:val="0"/>
          <w:numId w:val="1"/>
        </w:numPr>
        <w:spacing w:line="360" w:lineRule="auto"/>
        <w:rPr>
          <w:rFonts w:ascii="宋体" w:hAnsi="宋体" w:cs="宋体"/>
          <w:kern w:val="0"/>
          <w:sz w:val="24"/>
        </w:rPr>
      </w:pPr>
      <w:r>
        <w:rPr>
          <w:rFonts w:hint="eastAsia" w:ascii="宋体" w:hAnsi="宋体" w:cs="宋体"/>
          <w:kern w:val="0"/>
          <w:sz w:val="24"/>
        </w:rPr>
        <w:t>合同金额：委托方应向受托方支付临床试验费（人民币）总计：</w:t>
      </w:r>
      <w:r>
        <w:rPr>
          <w:rFonts w:hint="eastAsia" w:ascii="宋体" w:hAnsi="宋体" w:cs="宋体"/>
          <w:b/>
          <w:bCs/>
          <w:kern w:val="0"/>
          <w:sz w:val="24"/>
          <w:u w:val="single"/>
        </w:rPr>
        <w:t xml:space="preserve">      </w:t>
      </w:r>
      <w:r>
        <w:rPr>
          <w:rFonts w:hint="eastAsia" w:ascii="宋体" w:hAnsi="宋体" w:cs="宋体"/>
          <w:kern w:val="0"/>
          <w:sz w:val="24"/>
        </w:rPr>
        <w:t>元，大写（人民币）：</w:t>
      </w:r>
      <w:r>
        <w:rPr>
          <w:rFonts w:hint="eastAsia" w:ascii="宋体" w:hAnsi="宋体" w:cs="宋体"/>
          <w:b/>
          <w:bCs/>
          <w:kern w:val="0"/>
          <w:sz w:val="24"/>
          <w:u w:val="single"/>
        </w:rPr>
        <w:t xml:space="preserve">                                               </w:t>
      </w:r>
      <w:r>
        <w:rPr>
          <w:rFonts w:hint="eastAsia" w:ascii="宋体" w:hAnsi="宋体" w:cs="宋体"/>
          <w:kern w:val="0"/>
          <w:sz w:val="24"/>
        </w:rPr>
        <w:t>。其中：</w:t>
      </w:r>
      <w:r>
        <w:rPr>
          <w:rFonts w:hint="eastAsia"/>
          <w:sz w:val="24"/>
        </w:rPr>
        <w:t>受试者相关费用</w:t>
      </w:r>
      <w:r>
        <w:rPr>
          <w:rFonts w:hint="eastAsia" w:ascii="宋体" w:hAnsi="宋体" w:cs="宋体"/>
          <w:b/>
          <w:bCs/>
          <w:kern w:val="0"/>
          <w:sz w:val="24"/>
          <w:u w:val="single"/>
        </w:rPr>
        <w:t xml:space="preserve">      </w:t>
      </w:r>
      <w:r>
        <w:rPr>
          <w:rFonts w:hint="eastAsia" w:ascii="宋体" w:hAnsi="宋体" w:cs="宋体"/>
          <w:kern w:val="0"/>
          <w:sz w:val="24"/>
        </w:rPr>
        <w:t>元 ，研究者观察费</w:t>
      </w:r>
      <w:r>
        <w:rPr>
          <w:rFonts w:hint="eastAsia" w:ascii="宋体" w:hAnsi="宋体" w:cs="宋体"/>
          <w:b/>
          <w:bCs/>
          <w:kern w:val="0"/>
          <w:sz w:val="24"/>
          <w:u w:val="single"/>
        </w:rPr>
        <w:t xml:space="preserve">         </w:t>
      </w:r>
      <w:r>
        <w:rPr>
          <w:rFonts w:hint="eastAsia" w:ascii="宋体" w:hAnsi="宋体" w:cs="宋体"/>
          <w:kern w:val="0"/>
          <w:sz w:val="24"/>
        </w:rPr>
        <w:t>元，其他研究者费</w:t>
      </w:r>
      <w:r>
        <w:rPr>
          <w:rFonts w:hint="eastAsia" w:ascii="宋体" w:hAnsi="宋体" w:cs="宋体"/>
          <w:b/>
          <w:bCs/>
          <w:kern w:val="0"/>
          <w:sz w:val="24"/>
          <w:u w:val="single"/>
        </w:rPr>
        <w:t xml:space="preserve">          </w:t>
      </w:r>
      <w:r>
        <w:rPr>
          <w:rFonts w:hint="eastAsia" w:ascii="宋体" w:hAnsi="宋体" w:cs="宋体"/>
          <w:kern w:val="0"/>
          <w:sz w:val="24"/>
        </w:rPr>
        <w:t>元， 机构管理费</w:t>
      </w:r>
      <w:r>
        <w:rPr>
          <w:rFonts w:hint="eastAsia" w:ascii="宋体" w:hAnsi="宋体" w:cs="宋体"/>
          <w:b/>
          <w:bCs/>
          <w:kern w:val="0"/>
          <w:sz w:val="24"/>
          <w:u w:val="single"/>
        </w:rPr>
        <w:t xml:space="preserve">      </w:t>
      </w:r>
      <w:r>
        <w:rPr>
          <w:rFonts w:hint="eastAsia" w:ascii="宋体" w:hAnsi="宋体" w:cs="宋体"/>
          <w:kern w:val="0"/>
          <w:sz w:val="24"/>
        </w:rPr>
        <w:t>元，牵头费（如有）</w:t>
      </w:r>
      <w:r>
        <w:rPr>
          <w:rFonts w:hint="eastAsia" w:ascii="宋体" w:hAnsi="宋体" w:cs="宋体"/>
          <w:b/>
          <w:bCs/>
          <w:kern w:val="0"/>
          <w:sz w:val="24"/>
          <w:u w:val="single"/>
        </w:rPr>
        <w:t xml:space="preserve">      </w:t>
      </w:r>
      <w:r>
        <w:rPr>
          <w:rFonts w:hint="eastAsia" w:ascii="宋体" w:hAnsi="宋体" w:cs="宋体"/>
          <w:kern w:val="0"/>
          <w:sz w:val="24"/>
        </w:rPr>
        <w:t>元，税费6.72%</w:t>
      </w:r>
      <w:r>
        <w:rPr>
          <w:rFonts w:hint="eastAsia" w:ascii="宋体" w:hAnsi="宋体" w:cs="宋体"/>
          <w:b/>
          <w:bCs/>
          <w:kern w:val="0"/>
          <w:sz w:val="24"/>
          <w:u w:val="single"/>
        </w:rPr>
        <w:t xml:space="preserve">      </w:t>
      </w:r>
      <w:r>
        <w:rPr>
          <w:rFonts w:hint="eastAsia" w:ascii="宋体" w:hAnsi="宋体" w:cs="宋体"/>
          <w:kern w:val="0"/>
          <w:sz w:val="24"/>
        </w:rPr>
        <w:t>元，费用明细详见附件。</w:t>
      </w:r>
    </w:p>
    <w:p>
      <w:pPr>
        <w:widowControl/>
        <w:numPr>
          <w:ilvl w:val="0"/>
          <w:numId w:val="1"/>
        </w:numPr>
        <w:tabs>
          <w:tab w:val="left" w:pos="720"/>
        </w:tabs>
        <w:spacing w:line="360" w:lineRule="auto"/>
        <w:rPr>
          <w:rFonts w:ascii="宋体" w:hAnsi="宋体" w:cs="宋体"/>
          <w:kern w:val="0"/>
          <w:sz w:val="24"/>
        </w:rPr>
      </w:pPr>
      <w:r>
        <w:rPr>
          <w:rFonts w:hint="eastAsia" w:ascii="宋体" w:hAnsi="宋体" w:cs="宋体"/>
          <w:kern w:val="0"/>
          <w:sz w:val="24"/>
        </w:rPr>
        <w:t>付款方式：</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2.1临床试验启动培训会之前，委托方应向受托方指定的开户行支付预估临床试验总费用的50%</w:t>
      </w:r>
      <w:r>
        <w:rPr>
          <w:rFonts w:hint="eastAsia" w:ascii="宋体" w:hAnsi="宋体" w:cs="宋体"/>
          <w:kern w:val="0"/>
          <w:sz w:val="24"/>
          <w:u w:val="single"/>
        </w:rPr>
        <w:t>（确保至少包含所有受试者相关费用）</w:t>
      </w:r>
      <w:r>
        <w:rPr>
          <w:rFonts w:hint="eastAsia" w:ascii="宋体" w:hAnsi="宋体" w:cs="宋体"/>
          <w:kern w:val="0"/>
          <w:sz w:val="24"/>
        </w:rPr>
        <w:t>；</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2.2入组例数达到总例数50%的10个工作日内，委托方向受托方再支付预估试验经费总费用的30%的费用；</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2.3最后一例受试者结束随访3个月内，核对并确认《临床试验**项目尾款结算表》后10个工作日内进行尾款结算（按实际发生例数计算相关费用，其中筛选失败的病例、脱落病例、计划外随访病例的费用按照实际发生计算；包括档案保管费），总结报告盖章前需将尾款结清。</w:t>
      </w:r>
    </w:p>
    <w:p>
      <w:pPr>
        <w:widowControl/>
        <w:tabs>
          <w:tab w:val="left" w:pos="720"/>
        </w:tabs>
        <w:spacing w:line="360" w:lineRule="auto"/>
        <w:ind w:firstLine="480" w:firstLineChars="200"/>
        <w:rPr>
          <w:kern w:val="0"/>
          <w:sz w:val="24"/>
        </w:rPr>
      </w:pPr>
      <w:r>
        <w:rPr>
          <w:rFonts w:hint="eastAsia" w:ascii="宋体" w:hAnsi="宋体" w:cs="宋体"/>
          <w:kern w:val="0"/>
          <w:sz w:val="24"/>
        </w:rPr>
        <w:t>2.4上述</w:t>
      </w:r>
      <w:r>
        <w:rPr>
          <w:rFonts w:hint="eastAsia"/>
          <w:kern w:val="0"/>
          <w:sz w:val="24"/>
        </w:rPr>
        <w:t>2.2、2.3节点前，若受试者检查费和补偿费超出已付款数额，委托方须立即补充相关差额以保证试验顺利进行。</w:t>
      </w:r>
    </w:p>
    <w:p>
      <w:pPr>
        <w:widowControl/>
        <w:numPr>
          <w:ilvl w:val="0"/>
          <w:numId w:val="1"/>
        </w:numPr>
        <w:tabs>
          <w:tab w:val="left" w:pos="720"/>
        </w:tabs>
        <w:spacing w:line="360" w:lineRule="auto"/>
        <w:rPr>
          <w:rFonts w:ascii="宋体" w:hAnsi="宋体" w:cs="宋体"/>
          <w:kern w:val="0"/>
          <w:sz w:val="24"/>
        </w:rPr>
      </w:pPr>
      <w:r>
        <w:rPr>
          <w:rFonts w:hint="eastAsia" w:ascii="宋体" w:hAnsi="宋体" w:cs="宋体"/>
          <w:kern w:val="0"/>
          <w:sz w:val="24"/>
        </w:rPr>
        <w:t>若试验未启动或未入组，委托方应支付受托方机构管理费和档案保管费，具体如下：若试验立项已受理（以受托方“CTMS系统机构办立项受理意见：同意”为准），收取机构管理费5000元和档案保管费3000元；若试验合同审核已受理（以受托方“CTMS系统机构办合同审查意见：同意”为准），收取机构管理费7000元和档案保管费3000元；据此填写《临床试验**项目尾款结算表》，委托方应在确定提前终止后的10个工作日内进行尾款结算，并在确定提前终止后的30个工作日内完成支付。若试验按计划实施，费用根据表1-4如实结算。</w:t>
      </w:r>
      <w:r>
        <w:rPr>
          <w:rFonts w:ascii="宋体" w:hAnsi="宋体" w:cs="宋体"/>
          <w:kern w:val="0"/>
          <w:sz w:val="24"/>
        </w:rPr>
        <w:t xml:space="preserve"> </w:t>
      </w:r>
    </w:p>
    <w:p>
      <w:pPr>
        <w:widowControl/>
        <w:numPr>
          <w:ilvl w:val="0"/>
          <w:numId w:val="1"/>
        </w:numPr>
        <w:tabs>
          <w:tab w:val="left" w:pos="720"/>
        </w:tabs>
        <w:spacing w:line="360" w:lineRule="auto"/>
        <w:rPr>
          <w:rFonts w:ascii="宋体" w:hAnsi="宋体" w:cs="宋体"/>
          <w:kern w:val="0"/>
          <w:sz w:val="24"/>
        </w:rPr>
      </w:pPr>
      <w:r>
        <w:rPr>
          <w:rFonts w:hint="eastAsia" w:ascii="宋体" w:hAnsi="宋体" w:cs="宋体"/>
          <w:kern w:val="0"/>
          <w:sz w:val="24"/>
        </w:rPr>
        <w:t>银行转账</w:t>
      </w:r>
      <w:r>
        <w:rPr>
          <w:rFonts w:hint="eastAsia"/>
          <w:sz w:val="24"/>
        </w:rPr>
        <w:t>（</w:t>
      </w:r>
      <w:r>
        <w:rPr>
          <w:rFonts w:hint="eastAsia"/>
          <w:b/>
          <w:bCs/>
          <w:sz w:val="24"/>
          <w:u w:val="single"/>
        </w:rPr>
        <w:t>务必备注：项目名称的关键词</w:t>
      </w:r>
      <w:r>
        <w:rPr>
          <w:rFonts w:hint="eastAsia"/>
          <w:sz w:val="24"/>
        </w:rPr>
        <w:t>）</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户名：首都医科大学附属北京地坛医院</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开户行：北京银行学清路支行</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账号：0109 0376 0001 2010 2026 961</w:t>
      </w:r>
    </w:p>
    <w:p>
      <w:pPr>
        <w:widowControl/>
        <w:numPr>
          <w:ilvl w:val="0"/>
          <w:numId w:val="1"/>
        </w:numPr>
        <w:tabs>
          <w:tab w:val="left" w:pos="720"/>
        </w:tabs>
        <w:spacing w:line="360" w:lineRule="auto"/>
        <w:rPr>
          <w:rFonts w:ascii="宋体" w:hAnsi="宋体" w:cs="宋体"/>
          <w:kern w:val="0"/>
          <w:sz w:val="24"/>
        </w:rPr>
      </w:pPr>
      <w:r>
        <w:rPr>
          <w:rFonts w:hint="eastAsia" w:ascii="宋体" w:hAnsi="宋体" w:cs="宋体"/>
          <w:kern w:val="0"/>
          <w:sz w:val="24"/>
        </w:rPr>
        <w:t>委托方开票信息：</w:t>
      </w:r>
      <w:bookmarkStart w:id="0" w:name="_GoBack"/>
      <w:bookmarkEnd w:id="0"/>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企业名称：</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纳税登记号：</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单位地址：</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电话号码：</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开户银行：</w:t>
      </w:r>
    </w:p>
    <w:p>
      <w:pPr>
        <w:widowControl/>
        <w:tabs>
          <w:tab w:val="left" w:pos="720"/>
        </w:tabs>
        <w:spacing w:line="360" w:lineRule="auto"/>
        <w:ind w:firstLine="480" w:firstLineChars="200"/>
        <w:rPr>
          <w:rFonts w:ascii="宋体" w:hAnsi="宋体" w:cs="宋体"/>
          <w:kern w:val="0"/>
          <w:sz w:val="24"/>
        </w:rPr>
      </w:pPr>
      <w:r>
        <w:rPr>
          <w:rFonts w:hint="eastAsia" w:ascii="宋体" w:hAnsi="宋体" w:cs="宋体"/>
          <w:kern w:val="0"/>
          <w:sz w:val="24"/>
        </w:rPr>
        <w:t>账号：</w:t>
      </w:r>
    </w:p>
    <w:p>
      <w:pPr>
        <w:spacing w:line="288" w:lineRule="auto"/>
        <w:rPr>
          <w:rFonts w:ascii="宋体" w:hAnsi="宋体"/>
          <w:b/>
          <w:sz w:val="24"/>
        </w:rPr>
      </w:pPr>
    </w:p>
    <w:p>
      <w:pPr>
        <w:spacing w:before="156" w:beforeLines="50" w:line="288" w:lineRule="auto"/>
        <w:outlineLvl w:val="0"/>
        <w:rPr>
          <w:rFonts w:ascii="宋体" w:hAnsi="宋体"/>
          <w:b/>
          <w:sz w:val="24"/>
        </w:rPr>
      </w:pPr>
      <w:r>
        <w:rPr>
          <w:rFonts w:hint="eastAsia" w:ascii="宋体" w:hAnsi="宋体"/>
          <w:b/>
          <w:sz w:val="24"/>
        </w:rPr>
        <w:t>第四条  委托方权利义务：</w:t>
      </w:r>
    </w:p>
    <w:p>
      <w:pPr>
        <w:numPr>
          <w:ilvl w:val="0"/>
          <w:numId w:val="2"/>
        </w:numPr>
        <w:spacing w:before="156" w:beforeLines="50" w:line="288" w:lineRule="auto"/>
        <w:rPr>
          <w:sz w:val="24"/>
        </w:rPr>
      </w:pPr>
      <w:r>
        <w:rPr>
          <w:rFonts w:hint="eastAsia"/>
          <w:sz w:val="24"/>
        </w:rPr>
        <w:t>应当向研究者和临床试验机构提供试验方案和最新的研究者手册。</w:t>
      </w:r>
    </w:p>
    <w:p>
      <w:pPr>
        <w:numPr>
          <w:ilvl w:val="0"/>
          <w:numId w:val="2"/>
        </w:numPr>
        <w:spacing w:before="156" w:beforeLines="50" w:line="288" w:lineRule="auto"/>
        <w:rPr>
          <w:sz w:val="24"/>
        </w:rPr>
      </w:pPr>
      <w:r>
        <w:rPr>
          <w:rFonts w:hint="eastAsia"/>
          <w:sz w:val="24"/>
        </w:rPr>
        <w:t>应当免费向受试者提供试验用药品（包括但不限于试验药和对照药）并保证质量，支付与临床试验相关的研究费用。</w:t>
      </w:r>
      <w:r>
        <w:rPr>
          <w:rFonts w:hint="eastAsia"/>
          <w:sz w:val="24"/>
          <w:highlight w:val="yellow"/>
        </w:rPr>
        <w:t>（如果是医疗器械试验，请注明产品型号和规格。）</w:t>
      </w:r>
    </w:p>
    <w:p>
      <w:pPr>
        <w:numPr>
          <w:ilvl w:val="0"/>
          <w:numId w:val="2"/>
        </w:numPr>
        <w:spacing w:before="156" w:beforeLines="50" w:line="288" w:lineRule="auto"/>
        <w:rPr>
          <w:sz w:val="24"/>
        </w:rPr>
      </w:pPr>
      <w:r>
        <w:rPr>
          <w:rFonts w:hint="eastAsia"/>
          <w:sz w:val="24"/>
        </w:rPr>
        <w:t>应负责委派合格的监查员，并为受托方所接受，依照监查员的工作任务监查临床试验实施过程和所有试验资料，并就监查中发现的问题与研究者协商解决，及时整改。监查员负责对试验的质量进行监查，确保所有试验资料符合注册要求，并及时（事件获悉后 30 天内）向受托方告知可能影响受试者健康或安全的严重或持续违背方案事件。监查频率应和入组进度相协调。</w:t>
      </w:r>
    </w:p>
    <w:p>
      <w:pPr>
        <w:numPr>
          <w:ilvl w:val="0"/>
          <w:numId w:val="2"/>
        </w:numPr>
        <w:spacing w:before="156" w:beforeLines="50" w:line="288" w:lineRule="auto"/>
        <w:rPr>
          <w:sz w:val="24"/>
        </w:rPr>
      </w:pPr>
      <w:r>
        <w:rPr>
          <w:rFonts w:hint="eastAsia"/>
          <w:sz w:val="24"/>
        </w:rPr>
        <w:t>在决定中止或暂停临床试验前，须书面通知临床试验机构、研究者和伦理委员会，并述明理由。受托方同意试验终止后，相关资料归档按照受托方的要求进行。</w:t>
      </w:r>
    </w:p>
    <w:p>
      <w:pPr>
        <w:numPr>
          <w:ilvl w:val="0"/>
          <w:numId w:val="2"/>
        </w:numPr>
        <w:spacing w:before="156" w:beforeLines="50" w:line="288" w:lineRule="auto"/>
        <w:rPr>
          <w:sz w:val="24"/>
        </w:rPr>
      </w:pPr>
      <w:r>
        <w:rPr>
          <w:rFonts w:hint="eastAsia"/>
          <w:sz w:val="24"/>
        </w:rPr>
        <w:t>在试验进行中或结束后，委托方收到任何来源的安全性相关信息后，均应当立即分析评估，包括严重性、与试验药物的相关性以及是否为预期事件等。委托方应当将可疑且非预期严重不良反应快速报告给所有参加临床试验的研究者及临床试验机构、伦理委员会；委托方应当向药品监督管理部门和卫生健康主管部门报告可疑且非预期严重不良反应。</w:t>
      </w:r>
    </w:p>
    <w:p>
      <w:pPr>
        <w:numPr>
          <w:ilvl w:val="0"/>
          <w:numId w:val="2"/>
        </w:numPr>
        <w:spacing w:before="156" w:beforeLines="50" w:line="288" w:lineRule="auto"/>
        <w:rPr>
          <w:sz w:val="24"/>
        </w:rPr>
      </w:pPr>
      <w:r>
        <w:rPr>
          <w:rFonts w:hint="eastAsia"/>
          <w:sz w:val="24"/>
        </w:rPr>
        <w:t>试验一旦发生不良事件或严重不良事件需要及时处理（包括但不限于治疗、赔偿等），若需要委托方协调，委托方监查员或者负责人必须尽快到达受托方，协助处理严重不良事件后果并采取必要的措施，以保证受试者的安全和权益，并按照要求和时限报告药物不良反应。</w:t>
      </w:r>
    </w:p>
    <w:p>
      <w:pPr>
        <w:numPr>
          <w:ilvl w:val="0"/>
          <w:numId w:val="2"/>
        </w:numPr>
        <w:spacing w:before="156" w:beforeLines="50" w:line="288" w:lineRule="auto"/>
        <w:rPr>
          <w:sz w:val="24"/>
        </w:rPr>
      </w:pPr>
      <w:r>
        <w:rPr>
          <w:rFonts w:hint="eastAsia"/>
          <w:sz w:val="24"/>
        </w:rPr>
        <w:t>应当向研究者和临床试验机构提供与临床试验相关的法律上、经济上的保险或者保证，并与临床试验的风险性质和风险程度相适应。但不包括研究者和临床试验机构自身的过失所致的损害。</w:t>
      </w:r>
    </w:p>
    <w:p>
      <w:pPr>
        <w:numPr>
          <w:ilvl w:val="0"/>
          <w:numId w:val="2"/>
        </w:numPr>
        <w:spacing w:before="156" w:beforeLines="50" w:line="288" w:lineRule="auto"/>
        <w:rPr>
          <w:sz w:val="24"/>
        </w:rPr>
      </w:pPr>
      <w:r>
        <w:rPr>
          <w:rFonts w:hint="eastAsia"/>
          <w:sz w:val="24"/>
        </w:rPr>
        <w:t>应当承担受试者与临床试验相关的损害或者死亡的诊疗费用以及相应的补偿，并及时兑付。提供给受试者补偿的方式方法，应当符合相关的法律法规。可选择但不限于购买临床试验责任险或建立专项基金等方式保障受试者的安全与利益，并承担保险未覆盖的费用。</w:t>
      </w:r>
    </w:p>
    <w:p>
      <w:pPr>
        <w:numPr>
          <w:ilvl w:val="0"/>
          <w:numId w:val="2"/>
        </w:numPr>
        <w:spacing w:before="156" w:beforeLines="50" w:line="288" w:lineRule="auto"/>
        <w:rPr>
          <w:sz w:val="24"/>
        </w:rPr>
      </w:pPr>
      <w:r>
        <w:rPr>
          <w:rFonts w:hint="eastAsia"/>
          <w:sz w:val="24"/>
        </w:rPr>
        <w:t>有责任保护研究过程中所收集信息的隐私，并确保数据的可靠性与有效性、统计结果的准确性并符合伦理要求。未经受试者书面知情同意，受试者的个人信息/标本等不能擅自用于商业用途及探索性研究。</w:t>
      </w:r>
    </w:p>
    <w:p>
      <w:pPr>
        <w:numPr>
          <w:ilvl w:val="0"/>
          <w:numId w:val="2"/>
        </w:numPr>
        <w:spacing w:before="156" w:beforeLines="50" w:line="288" w:lineRule="auto"/>
        <w:rPr>
          <w:sz w:val="24"/>
        </w:rPr>
      </w:pPr>
      <w:r>
        <w:rPr>
          <w:rFonts w:hint="eastAsia"/>
          <w:sz w:val="24"/>
        </w:rPr>
        <w:t>当出现任何可能显著影响研究进行、或增加受试者危险的情况时，应在30日内报告伦理委员会。研究结束后若发现</w:t>
      </w:r>
      <w:r>
        <w:rPr>
          <w:sz w:val="24"/>
        </w:rPr>
        <w:t>涉及受试者重大健康问题且具有直接临床意义的信息</w:t>
      </w:r>
      <w:r>
        <w:rPr>
          <w:rFonts w:hint="eastAsia"/>
          <w:sz w:val="24"/>
        </w:rPr>
        <w:t>，应向研究者和临床试验机构通报。</w:t>
      </w:r>
    </w:p>
    <w:p>
      <w:pPr>
        <w:numPr>
          <w:ilvl w:val="0"/>
          <w:numId w:val="2"/>
        </w:numPr>
        <w:spacing w:before="156" w:beforeLines="50" w:line="288" w:lineRule="auto"/>
        <w:rPr>
          <w:sz w:val="24"/>
        </w:rPr>
      </w:pPr>
      <w:r>
        <w:rPr>
          <w:rFonts w:hint="eastAsia"/>
          <w:sz w:val="24"/>
        </w:rPr>
        <w:t>组织召开数据管理会或盲态审核会，主要研究者出席并主持（如国外的研究已成立了专项数据管理委员会，请注明）。（此条款在我院为牵头单位时需增加）。按照数据与安全监察计划（如有）规定的时间节点，向临床试验机构发送常规的或紧急的数据安全监察报告。</w:t>
      </w:r>
      <w:r>
        <w:rPr>
          <w:rFonts w:hint="eastAsia"/>
          <w:sz w:val="24"/>
          <w:highlight w:val="yellow"/>
          <w:u w:val="single"/>
        </w:rPr>
        <w:t>（可选条款）</w:t>
      </w:r>
    </w:p>
    <w:p>
      <w:pPr>
        <w:numPr>
          <w:ilvl w:val="0"/>
          <w:numId w:val="2"/>
        </w:numPr>
        <w:spacing w:before="156" w:beforeLines="50" w:line="288" w:lineRule="auto"/>
        <w:rPr>
          <w:sz w:val="24"/>
        </w:rPr>
      </w:pPr>
      <w:r>
        <w:rPr>
          <w:rFonts w:hint="eastAsia"/>
          <w:sz w:val="24"/>
          <w:highlight w:val="yellow"/>
        </w:rPr>
        <w:t>《药物临床试验质量管理规范》或《医疗器械临床试验质量管理规范》</w:t>
      </w:r>
      <w:r>
        <w:rPr>
          <w:rFonts w:hint="eastAsia"/>
          <w:sz w:val="24"/>
        </w:rPr>
        <w:t>等现行法规原则中对申办者、监查员的职责均应执行。</w:t>
      </w:r>
    </w:p>
    <w:p>
      <w:pPr>
        <w:spacing w:line="288" w:lineRule="auto"/>
        <w:rPr>
          <w:sz w:val="24"/>
        </w:rPr>
      </w:pPr>
    </w:p>
    <w:p>
      <w:pPr>
        <w:spacing w:before="156" w:beforeLines="50" w:line="288" w:lineRule="auto"/>
        <w:outlineLvl w:val="0"/>
        <w:rPr>
          <w:rFonts w:ascii="宋体" w:hAnsi="宋体"/>
          <w:b/>
          <w:sz w:val="24"/>
        </w:rPr>
      </w:pPr>
      <w:r>
        <w:rPr>
          <w:rFonts w:hint="eastAsia" w:ascii="宋体" w:hAnsi="宋体"/>
          <w:b/>
          <w:sz w:val="24"/>
        </w:rPr>
        <w:t>第五条  受托方权利义务：</w:t>
      </w:r>
    </w:p>
    <w:p>
      <w:pPr>
        <w:numPr>
          <w:ilvl w:val="0"/>
          <w:numId w:val="3"/>
        </w:numPr>
        <w:spacing w:before="156" w:beforeLines="50" w:line="288" w:lineRule="auto"/>
        <w:rPr>
          <w:sz w:val="24"/>
        </w:rPr>
      </w:pPr>
      <w:r>
        <w:rPr>
          <w:rFonts w:hint="eastAsia"/>
          <w:sz w:val="24"/>
        </w:rPr>
        <w:t>主要研究者应审阅全部伦理审查的送审文件，提交伦理审查。临床试验的实施过程中遵守本规范及相关的临床试验的法律法规。</w:t>
      </w:r>
    </w:p>
    <w:p>
      <w:pPr>
        <w:numPr>
          <w:ilvl w:val="0"/>
          <w:numId w:val="3"/>
        </w:numPr>
        <w:spacing w:before="156" w:beforeLines="50" w:line="288" w:lineRule="auto"/>
        <w:rPr>
          <w:sz w:val="24"/>
        </w:rPr>
      </w:pPr>
      <w:r>
        <w:rPr>
          <w:rFonts w:hint="eastAsia"/>
          <w:sz w:val="24"/>
        </w:rPr>
        <w:t>详细阅读和了解试验方案的内容，严格执行经过伦理委员会批准的试验方案。全体研究人员应参加临床试验相关的培训。</w:t>
      </w:r>
    </w:p>
    <w:p>
      <w:pPr>
        <w:numPr>
          <w:ilvl w:val="0"/>
          <w:numId w:val="3"/>
        </w:numPr>
        <w:spacing w:before="156" w:beforeLines="50" w:line="288" w:lineRule="auto"/>
        <w:rPr>
          <w:sz w:val="24"/>
        </w:rPr>
      </w:pPr>
      <w:r>
        <w:rPr>
          <w:rFonts w:hint="eastAsia"/>
          <w:sz w:val="24"/>
        </w:rPr>
        <w:t>负责合同的管理以及委托方提供的经费的管理，协调委托方提出的临床试验相关的要求。</w:t>
      </w:r>
    </w:p>
    <w:p>
      <w:pPr>
        <w:numPr>
          <w:ilvl w:val="0"/>
          <w:numId w:val="3"/>
        </w:numPr>
        <w:spacing w:before="156" w:beforeLines="50" w:line="288" w:lineRule="auto"/>
        <w:rPr>
          <w:sz w:val="24"/>
        </w:rPr>
      </w:pPr>
      <w:r>
        <w:rPr>
          <w:rFonts w:hint="eastAsia"/>
          <w:sz w:val="24"/>
        </w:rPr>
        <w:t>负责对临床试验的档案资料进行保管。</w:t>
      </w:r>
    </w:p>
    <w:p>
      <w:pPr>
        <w:numPr>
          <w:ilvl w:val="0"/>
          <w:numId w:val="3"/>
        </w:numPr>
        <w:spacing w:before="156" w:beforeLines="50" w:line="288" w:lineRule="auto"/>
        <w:rPr>
          <w:sz w:val="24"/>
        </w:rPr>
      </w:pPr>
      <w:r>
        <w:rPr>
          <w:rFonts w:hint="eastAsia"/>
          <w:sz w:val="24"/>
        </w:rPr>
        <w:t>研究者保证真实、准确、完整、及时地收集和记录原始数据。</w:t>
      </w:r>
    </w:p>
    <w:p>
      <w:pPr>
        <w:numPr>
          <w:ilvl w:val="0"/>
          <w:numId w:val="3"/>
        </w:numPr>
        <w:spacing w:before="156" w:beforeLines="50" w:line="288" w:lineRule="auto"/>
        <w:rPr>
          <w:sz w:val="24"/>
        </w:rPr>
      </w:pPr>
      <w:r>
        <w:rPr>
          <w:rFonts w:hint="eastAsia"/>
          <w:sz w:val="24"/>
        </w:rPr>
        <w:t>研究者负责做出与临床试验相关的医疗决定，保证受试者出现不良事件时得到适当的治疗。研究者有义务采取必要的措施以保障受试者的安全，并记录在案。如发生严重不良事件，应采取适当的治疗措施，并报告申办者和伦理委员会。</w:t>
      </w:r>
    </w:p>
    <w:p>
      <w:pPr>
        <w:numPr>
          <w:ilvl w:val="0"/>
          <w:numId w:val="3"/>
        </w:numPr>
        <w:spacing w:before="156" w:beforeLines="50" w:line="288" w:lineRule="auto"/>
        <w:rPr>
          <w:sz w:val="24"/>
        </w:rPr>
      </w:pPr>
      <w:r>
        <w:rPr>
          <w:rFonts w:hint="eastAsia"/>
          <w:sz w:val="24"/>
        </w:rPr>
        <w:t>如果研究者从研究机构离职或由于其它原因不能继续开展本临床试验，受托方将及时通知委托方。新研究者的委任必须事先取得委托方的批准。</w:t>
      </w:r>
    </w:p>
    <w:p>
      <w:pPr>
        <w:numPr>
          <w:ilvl w:val="0"/>
          <w:numId w:val="3"/>
        </w:numPr>
        <w:spacing w:before="156" w:beforeLines="50" w:line="288" w:lineRule="auto"/>
        <w:ind w:left="0" w:firstLine="0"/>
        <w:rPr>
          <w:sz w:val="24"/>
        </w:rPr>
      </w:pPr>
      <w:r>
        <w:rPr>
          <w:rFonts w:hint="eastAsia"/>
          <w:sz w:val="24"/>
        </w:rPr>
        <w:t>研究者应配合委托方出席试验药物的审评会和各级官方的现场核查会议，相</w:t>
      </w:r>
    </w:p>
    <w:p>
      <w:pPr>
        <w:numPr>
          <w:ilvl w:val="255"/>
          <w:numId w:val="0"/>
        </w:numPr>
        <w:spacing w:before="156" w:beforeLines="50" w:line="288" w:lineRule="auto"/>
        <w:ind w:firstLine="480" w:firstLineChars="200"/>
        <w:rPr>
          <w:sz w:val="24"/>
        </w:rPr>
      </w:pPr>
      <w:r>
        <w:rPr>
          <w:rFonts w:hint="eastAsia"/>
          <w:sz w:val="24"/>
        </w:rPr>
        <w:t>关所有费用由委托方承担。</w:t>
      </w:r>
    </w:p>
    <w:p>
      <w:pPr>
        <w:numPr>
          <w:ilvl w:val="0"/>
          <w:numId w:val="3"/>
        </w:numPr>
        <w:spacing w:before="156" w:beforeLines="50" w:line="288" w:lineRule="auto"/>
        <w:rPr>
          <w:sz w:val="24"/>
        </w:rPr>
      </w:pPr>
      <w:r>
        <w:rPr>
          <w:rFonts w:hint="eastAsia"/>
          <w:sz w:val="24"/>
        </w:rPr>
        <w:t>临床研究结束后负责整理临床试验所有相关资料，向委托方提供真实准确的病例报告表、小结报告及其他书面资料。协助委托方解答主管部门或数据统计部门对本临床研究提出的疑问。</w:t>
      </w:r>
    </w:p>
    <w:p>
      <w:pPr>
        <w:numPr>
          <w:ilvl w:val="0"/>
          <w:numId w:val="3"/>
        </w:numPr>
        <w:spacing w:before="156" w:beforeLines="50" w:line="288" w:lineRule="auto"/>
        <w:rPr>
          <w:sz w:val="24"/>
        </w:rPr>
      </w:pPr>
      <w:r>
        <w:rPr>
          <w:rFonts w:hint="eastAsia"/>
          <w:sz w:val="24"/>
        </w:rPr>
        <w:t>确保</w:t>
      </w:r>
      <w:r>
        <w:rPr>
          <w:rFonts w:hint="eastAsia"/>
          <w:sz w:val="24"/>
          <w:highlight w:val="yellow"/>
        </w:rPr>
        <w:t>试验药物（或医疗器械）</w:t>
      </w:r>
      <w:r>
        <w:rPr>
          <w:rFonts w:hint="eastAsia"/>
          <w:sz w:val="24"/>
        </w:rPr>
        <w:t>按照试验方案、相关法律法规和委托方的要求在适当的条件下予以储存、发放和使用。</w:t>
      </w:r>
      <w:r>
        <w:rPr>
          <w:rFonts w:hint="eastAsia"/>
          <w:sz w:val="24"/>
          <w:highlight w:val="yellow"/>
        </w:rPr>
        <w:t>试验药物</w:t>
      </w:r>
      <w:r>
        <w:rPr>
          <w:rFonts w:hint="eastAsia"/>
          <w:sz w:val="24"/>
        </w:rPr>
        <w:t>仅用于研究方案所述目的，受托方不应为任何其它目的使用、供应或提供</w:t>
      </w:r>
      <w:r>
        <w:rPr>
          <w:rFonts w:hint="eastAsia"/>
          <w:sz w:val="24"/>
          <w:highlight w:val="yellow"/>
        </w:rPr>
        <w:t>试验药物</w:t>
      </w:r>
      <w:r>
        <w:rPr>
          <w:rFonts w:hint="eastAsia"/>
          <w:sz w:val="24"/>
        </w:rPr>
        <w:t>，也不应将</w:t>
      </w:r>
      <w:r>
        <w:rPr>
          <w:rFonts w:hint="eastAsia"/>
          <w:sz w:val="24"/>
          <w:highlight w:val="yellow"/>
        </w:rPr>
        <w:t>试验药物</w:t>
      </w:r>
      <w:r>
        <w:rPr>
          <w:rFonts w:hint="eastAsia"/>
          <w:sz w:val="24"/>
        </w:rPr>
        <w:t>用于任何未获批适应症的推广或商业活动。</w:t>
      </w:r>
    </w:p>
    <w:p>
      <w:pPr>
        <w:numPr>
          <w:ilvl w:val="0"/>
          <w:numId w:val="3"/>
        </w:numPr>
        <w:spacing w:before="156" w:beforeLines="50" w:line="288" w:lineRule="auto"/>
        <w:rPr>
          <w:sz w:val="24"/>
        </w:rPr>
      </w:pPr>
      <w:r>
        <w:rPr>
          <w:rFonts w:hint="eastAsia"/>
          <w:sz w:val="24"/>
        </w:rPr>
        <w:t>保护受试者的隐私，对项目内容保密，不泄露给其他单位或个人。</w:t>
      </w:r>
    </w:p>
    <w:p>
      <w:pPr>
        <w:numPr>
          <w:ilvl w:val="0"/>
          <w:numId w:val="3"/>
        </w:numPr>
        <w:spacing w:before="156" w:beforeLines="50" w:line="288" w:lineRule="auto"/>
        <w:rPr>
          <w:sz w:val="24"/>
        </w:rPr>
      </w:pPr>
      <w:r>
        <w:rPr>
          <w:rFonts w:hint="eastAsia"/>
          <w:sz w:val="24"/>
        </w:rPr>
        <w:t>在每位受试者参加临床试验前取得其知情同意书。</w:t>
      </w:r>
    </w:p>
    <w:p>
      <w:pPr>
        <w:numPr>
          <w:ilvl w:val="0"/>
          <w:numId w:val="3"/>
        </w:numPr>
        <w:spacing w:before="156" w:beforeLines="50" w:line="288" w:lineRule="auto"/>
        <w:rPr>
          <w:sz w:val="24"/>
        </w:rPr>
      </w:pPr>
      <w:r>
        <w:rPr>
          <w:rFonts w:hint="eastAsia"/>
          <w:sz w:val="24"/>
        </w:rPr>
        <w:t>《</w:t>
      </w:r>
      <w:r>
        <w:rPr>
          <w:rFonts w:hint="eastAsia"/>
          <w:sz w:val="24"/>
          <w:highlight w:val="yellow"/>
        </w:rPr>
        <w:t>药物临床试验质量管理规范》或《医疗器械临床试验质量管理规范》</w:t>
      </w:r>
      <w:r>
        <w:rPr>
          <w:rFonts w:hint="eastAsia"/>
          <w:sz w:val="24"/>
        </w:rPr>
        <w:t>等现行法规原则中对</w:t>
      </w:r>
      <w:r>
        <w:rPr>
          <w:rFonts w:hint="eastAsia" w:ascii="宋体" w:hAnsi="宋体"/>
          <w:bCs/>
          <w:sz w:val="24"/>
        </w:rPr>
        <w:t>临床试验机构和研究者</w:t>
      </w:r>
      <w:r>
        <w:rPr>
          <w:rFonts w:hint="eastAsia"/>
          <w:bCs/>
          <w:sz w:val="24"/>
        </w:rPr>
        <w:t>的</w:t>
      </w:r>
      <w:r>
        <w:rPr>
          <w:rFonts w:hint="eastAsia"/>
          <w:sz w:val="24"/>
        </w:rPr>
        <w:t>职责均应执行。</w:t>
      </w:r>
    </w:p>
    <w:p>
      <w:pPr>
        <w:spacing w:before="156" w:beforeLines="50" w:line="288" w:lineRule="auto"/>
        <w:outlineLvl w:val="0"/>
        <w:rPr>
          <w:rFonts w:ascii="宋体" w:hAnsi="宋体"/>
          <w:b/>
          <w:sz w:val="24"/>
        </w:rPr>
      </w:pPr>
      <w:r>
        <w:rPr>
          <w:rFonts w:hint="eastAsia" w:ascii="宋体" w:hAnsi="宋体"/>
          <w:b/>
          <w:sz w:val="24"/>
        </w:rPr>
        <w:t xml:space="preserve">第六条  </w:t>
      </w:r>
      <w:r>
        <w:rPr>
          <w:rFonts w:ascii="宋体" w:hAnsi="宋体"/>
          <w:b/>
          <w:sz w:val="24"/>
        </w:rPr>
        <w:t>知识产权、成果归属与分享、研究资料保存</w:t>
      </w:r>
      <w:r>
        <w:rPr>
          <w:rFonts w:hint="eastAsia" w:ascii="宋体" w:hAnsi="宋体"/>
          <w:b/>
          <w:sz w:val="24"/>
        </w:rPr>
        <w:t>的约定</w:t>
      </w:r>
      <w:r>
        <w:rPr>
          <w:rFonts w:ascii="宋体" w:hAnsi="宋体"/>
          <w:b/>
          <w:sz w:val="24"/>
        </w:rPr>
        <w:t>：</w:t>
      </w:r>
    </w:p>
    <w:p>
      <w:pPr>
        <w:numPr>
          <w:ilvl w:val="0"/>
          <w:numId w:val="4"/>
        </w:numPr>
        <w:spacing w:before="156" w:beforeLines="50" w:line="288" w:lineRule="auto"/>
        <w:rPr>
          <w:sz w:val="24"/>
        </w:rPr>
      </w:pPr>
      <w:r>
        <w:rPr>
          <w:rFonts w:hint="eastAsia"/>
          <w:sz w:val="24"/>
        </w:rPr>
        <w:t>除机构发明（定义见下文）以外，所有与本试验相关文件、资料、信息、病例报告表、除与机构发明（定义见下文）有关的任何专利权外的知识产权、技术秘密或商业秘密归申办者所有。</w:t>
      </w:r>
    </w:p>
    <w:p>
      <w:pPr>
        <w:numPr>
          <w:ilvl w:val="0"/>
          <w:numId w:val="4"/>
        </w:numPr>
        <w:spacing w:before="156" w:beforeLines="50" w:line="288" w:lineRule="auto"/>
        <w:rPr>
          <w:sz w:val="24"/>
        </w:rPr>
      </w:pPr>
      <w:r>
        <w:rPr>
          <w:rFonts w:hint="eastAsia"/>
          <w:sz w:val="24"/>
        </w:rPr>
        <w:t>在根据本协议开展研究过程中想到或付诸实践的发明（“发明”）的所有权按发明人规则来界定，即按照申办者和临床试验机构对构思该等发明所做智力贡献的比例来界定。据此，申办者由研究中单独取得构思的发明均属于申办者。研究者由研究中单独构思取得的发明属于临床试验机构（“机构发明”）。由申办者同研究者自研究中共同构思取得的发明为双方共同所有（“共同发明”）。如果任何一方在研究过程中获得任何发明，则该方应尽快将其书面通知另一方。未经另一方事先书面同意，任何一方均不得提出与发明有关的任何专利申请。</w:t>
      </w:r>
    </w:p>
    <w:p>
      <w:pPr>
        <w:numPr>
          <w:ilvl w:val="0"/>
          <w:numId w:val="4"/>
        </w:numPr>
        <w:spacing w:before="156" w:beforeLines="50" w:line="288" w:lineRule="auto"/>
        <w:rPr>
          <w:sz w:val="24"/>
        </w:rPr>
      </w:pPr>
      <w:r>
        <w:rPr>
          <w:rFonts w:hint="eastAsia"/>
          <w:sz w:val="24"/>
        </w:rPr>
        <w:t>委托方在申报本临床试验研究成果时，若引用临床研究资料，受托方应作为协作单位。委托方在获得国家药品监督管理局的新药生产批件后，应给受托方一份复印件。</w:t>
      </w:r>
    </w:p>
    <w:p>
      <w:pPr>
        <w:numPr>
          <w:ilvl w:val="0"/>
          <w:numId w:val="4"/>
        </w:numPr>
        <w:spacing w:before="156" w:beforeLines="50" w:line="288" w:lineRule="auto"/>
        <w:rPr>
          <w:sz w:val="24"/>
        </w:rPr>
      </w:pPr>
      <w:r>
        <w:rPr>
          <w:rFonts w:hint="eastAsia"/>
          <w:sz w:val="24"/>
        </w:rPr>
        <w:t>受托方有发表文章的权利，研究者可以将此类数据和结果用于非商业的内部研究与教育目的，临床试验机构应遵守隐私相关的法律法规和本协议的条款。</w:t>
      </w:r>
    </w:p>
    <w:p>
      <w:pPr>
        <w:numPr>
          <w:ilvl w:val="0"/>
          <w:numId w:val="4"/>
        </w:numPr>
        <w:spacing w:before="156" w:beforeLines="50" w:line="288" w:lineRule="auto"/>
        <w:rPr>
          <w:sz w:val="24"/>
        </w:rPr>
      </w:pPr>
      <w:r>
        <w:rPr>
          <w:rFonts w:hint="eastAsia"/>
          <w:sz w:val="24"/>
        </w:rPr>
        <w:t>研究者在学术会议或刊物上交流临床试验结果时应征得委托方书面同意。</w:t>
      </w:r>
    </w:p>
    <w:p>
      <w:pPr>
        <w:numPr>
          <w:ilvl w:val="0"/>
          <w:numId w:val="4"/>
        </w:numPr>
        <w:spacing w:before="156" w:beforeLines="50" w:line="288" w:lineRule="auto"/>
        <w:rPr>
          <w:sz w:val="24"/>
        </w:rPr>
      </w:pPr>
      <w:r>
        <w:rPr>
          <w:rFonts w:hint="eastAsia"/>
          <w:sz w:val="24"/>
        </w:rPr>
        <w:t>基于中国人类遗传资源取得的专利权归双方共有，其处置及利益分配比例由双方另行约定。</w:t>
      </w:r>
    </w:p>
    <w:p>
      <w:pPr>
        <w:numPr>
          <w:ilvl w:val="0"/>
          <w:numId w:val="4"/>
        </w:numPr>
        <w:spacing w:before="156" w:beforeLines="50" w:line="288" w:lineRule="auto"/>
        <w:rPr>
          <w:sz w:val="24"/>
        </w:rPr>
      </w:pPr>
      <w:r>
        <w:rPr>
          <w:rFonts w:hint="eastAsia"/>
          <w:sz w:val="24"/>
        </w:rPr>
        <w:t>委托方在申报本临床试验研究成果时，若引用临床研究资料，受托方应作为协作单位。委托方在获得国家药品监督管理局（NMPA）的批件后，应给受托方一份复印件。</w:t>
      </w:r>
    </w:p>
    <w:p>
      <w:pPr>
        <w:numPr>
          <w:ilvl w:val="0"/>
          <w:numId w:val="4"/>
        </w:numPr>
        <w:spacing w:before="156" w:beforeLines="50" w:line="288" w:lineRule="auto"/>
        <w:rPr>
          <w:sz w:val="24"/>
        </w:rPr>
      </w:pPr>
      <w:r>
        <w:rPr>
          <w:rFonts w:hint="eastAsia"/>
          <w:sz w:val="24"/>
        </w:rPr>
        <w:t>受托方保存本临床试验档案，用于申请药品注册的临床试验，一般保存至试验药物被批准上市后5年；未用于申请药品注册的临床试验，一般保存至临床试验终止后5年</w:t>
      </w:r>
      <w:r>
        <w:rPr>
          <w:rFonts w:hint="eastAsia"/>
          <w:sz w:val="24"/>
          <w:highlight w:val="yellow"/>
        </w:rPr>
        <w:t>（应</w:t>
      </w:r>
      <w:r>
        <w:rPr>
          <w:sz w:val="24"/>
          <w:highlight w:val="yellow"/>
        </w:rPr>
        <w:t>至医疗器械临床试验完成或者终止后10年</w:t>
      </w:r>
      <w:r>
        <w:rPr>
          <w:rFonts w:hint="eastAsia"/>
          <w:sz w:val="24"/>
        </w:rPr>
        <w:t>）。临床试验机构预计保存档案至试验结束后</w:t>
      </w:r>
      <w:r>
        <w:rPr>
          <w:rFonts w:hint="eastAsia"/>
          <w:sz w:val="24"/>
          <w:highlight w:val="yellow"/>
        </w:rPr>
        <w:t>XX年（药物15年，器械10年）</w:t>
      </w:r>
      <w:r>
        <w:rPr>
          <w:rFonts w:hint="eastAsia"/>
          <w:sz w:val="24"/>
        </w:rPr>
        <w:t>；保存到期前3个月内，申办者应主动联系临床试验机构告知后续档案处置计划（如销毁、继续保存、转移至第三方等）。如保存到期时仍未到法规保存期限，申办者应与临床试验机构协商后续保存事宜并签署相应保存协议；如保存到期时申办者未与临床试验机构联系，视为自动放弃保存的档案，临床试验机构有权处理档案。双方预留联系人姓名、联系电话、传真/邮箱。临床试验机构联系人：XX，电话：010-84322133；申办者联系人：XX，电话：XX，邮箱：XX。</w:t>
      </w:r>
    </w:p>
    <w:p>
      <w:pPr>
        <w:spacing w:before="156" w:beforeLines="50" w:line="288" w:lineRule="auto"/>
        <w:outlineLvl w:val="0"/>
        <w:rPr>
          <w:rFonts w:ascii="宋体" w:hAnsi="宋体"/>
          <w:b/>
          <w:sz w:val="24"/>
        </w:rPr>
      </w:pPr>
      <w:r>
        <w:rPr>
          <w:rFonts w:hint="eastAsia" w:ascii="宋体" w:hAnsi="宋体"/>
          <w:b/>
          <w:sz w:val="24"/>
        </w:rPr>
        <w:t>第七条  受试者权益保护和赔偿：</w:t>
      </w:r>
    </w:p>
    <w:p>
      <w:pPr>
        <w:numPr>
          <w:ilvl w:val="0"/>
          <w:numId w:val="5"/>
        </w:numPr>
        <w:spacing w:before="156" w:beforeLines="50" w:line="288" w:lineRule="auto"/>
        <w:rPr>
          <w:sz w:val="24"/>
        </w:rPr>
      </w:pPr>
      <w:r>
        <w:rPr>
          <w:rFonts w:hint="eastAsia"/>
          <w:sz w:val="24"/>
        </w:rPr>
        <w:t>委托方负责为受托方及研究者提供法律上与经济上的担保。对发生与试验相关（包括无法判定不良事件及严重不良事件是否与试验有关）的损害或死亡的受试者，委托方负责承担全部责任，包括医疗费用、经济补偿或者赔偿等。除此之外，如进入诉讼或者仲裁程序，则由委托方承担案件的律师费、诉讼费、仲裁费等与诉讼和/或仲裁相关的成本和费用。</w:t>
      </w:r>
    </w:p>
    <w:p>
      <w:pPr>
        <w:numPr>
          <w:ilvl w:val="0"/>
          <w:numId w:val="5"/>
        </w:numPr>
        <w:spacing w:before="156" w:beforeLines="50" w:line="288" w:lineRule="auto"/>
        <w:rPr>
          <w:sz w:val="24"/>
        </w:rPr>
      </w:pPr>
      <w:r>
        <w:rPr>
          <w:rFonts w:hint="eastAsia"/>
          <w:sz w:val="24"/>
        </w:rPr>
        <w:t>一旦发生受试者或研究者损害的赔偿纠纷或诉讼和/或仲裁，研究者应立即通知委托方，委托方必须立即委托专人（律师或其工作人员）全权处理索赔或赔偿或诉讼事宜，临床试验机构或研究者同意给予委托方相关协助。</w:t>
      </w:r>
    </w:p>
    <w:p>
      <w:pPr>
        <w:numPr>
          <w:ilvl w:val="0"/>
          <w:numId w:val="5"/>
        </w:numPr>
        <w:spacing w:before="156" w:beforeLines="50" w:line="288" w:lineRule="auto"/>
        <w:rPr>
          <w:sz w:val="24"/>
        </w:rPr>
      </w:pPr>
      <w:r>
        <w:rPr>
          <w:rFonts w:hint="eastAsia"/>
          <w:sz w:val="24"/>
        </w:rPr>
        <w:t>如果在受试者或研究者伤害需要赔偿或诉讼的过程中出现法院或仲裁机构认定存在的“无过错责任”时，该无过错责任由委托方依据生效裁判文书承担。</w:t>
      </w:r>
    </w:p>
    <w:p>
      <w:pPr>
        <w:spacing w:before="156" w:beforeLines="50" w:line="288" w:lineRule="auto"/>
        <w:outlineLvl w:val="0"/>
      </w:pPr>
      <w:r>
        <w:rPr>
          <w:rFonts w:hint="eastAsia" w:ascii="宋体" w:hAnsi="宋体"/>
          <w:b/>
          <w:sz w:val="24"/>
        </w:rPr>
        <w:t>第八条  违约责任：</w:t>
      </w:r>
    </w:p>
    <w:p>
      <w:pPr>
        <w:spacing w:before="156" w:beforeLines="50" w:line="288" w:lineRule="auto"/>
        <w:rPr>
          <w:sz w:val="24"/>
        </w:rPr>
      </w:pPr>
      <w:r>
        <w:rPr>
          <w:rFonts w:hint="eastAsia"/>
          <w:sz w:val="24"/>
        </w:rPr>
        <w:t>1.委托方：</w:t>
      </w:r>
    </w:p>
    <w:p>
      <w:pPr>
        <w:spacing w:before="156" w:beforeLines="50" w:line="288" w:lineRule="auto"/>
        <w:ind w:firstLine="480" w:firstLineChars="200"/>
        <w:rPr>
          <w:sz w:val="24"/>
        </w:rPr>
      </w:pPr>
      <w:r>
        <w:rPr>
          <w:rFonts w:hint="eastAsia"/>
          <w:sz w:val="24"/>
        </w:rPr>
        <w:t>1.1委托方派出的监查员等与申办者有关的人员在监查、随访、数据审核等一切活动中不得参与原始数据的篡改、修改、修饰等，如有违反，委托方将承担所有的相关法律责任。</w:t>
      </w:r>
    </w:p>
    <w:p>
      <w:pPr>
        <w:spacing w:before="156" w:beforeLines="50" w:line="288" w:lineRule="auto"/>
        <w:ind w:firstLine="480" w:firstLineChars="200"/>
        <w:rPr>
          <w:sz w:val="24"/>
        </w:rPr>
      </w:pPr>
      <w:r>
        <w:rPr>
          <w:rFonts w:hint="eastAsia"/>
          <w:sz w:val="24"/>
        </w:rPr>
        <w:t>1.2委托方派出的监查员以及其他任何人员，与申办者有关的一切人员在监查、随访、数据审核等一切活动中，如有意或无意泄露受试者信息，造成受试者权益受损或受试者追诉相关责任和赔偿时，委托方应承担相关法律责任。</w:t>
      </w:r>
    </w:p>
    <w:p>
      <w:pPr>
        <w:spacing w:before="156" w:beforeLines="50" w:line="288" w:lineRule="auto"/>
        <w:ind w:firstLine="480" w:firstLineChars="200"/>
        <w:rPr>
          <w:sz w:val="24"/>
        </w:rPr>
      </w:pPr>
      <w:r>
        <w:rPr>
          <w:rFonts w:hint="eastAsia"/>
          <w:sz w:val="24"/>
        </w:rPr>
        <w:t>1.3如果该试验或验证产品存在侵犯知识产权或专利等其他问题，其责任由委托方负责。</w:t>
      </w:r>
    </w:p>
    <w:p>
      <w:pPr>
        <w:spacing w:before="156" w:beforeLines="50" w:line="288" w:lineRule="auto"/>
        <w:ind w:firstLine="480" w:firstLineChars="200"/>
        <w:rPr>
          <w:sz w:val="24"/>
        </w:rPr>
      </w:pPr>
      <w:r>
        <w:rPr>
          <w:rFonts w:hint="eastAsia"/>
          <w:sz w:val="24"/>
        </w:rPr>
        <w:t>1.4若因试验用药、方案等原始资料修改、经费等原因造成延误，责任由委托方自负。受托方有权终止合同或将合同规定之完成期限相应顺延。</w:t>
      </w:r>
    </w:p>
    <w:p>
      <w:pPr>
        <w:spacing w:before="156" w:beforeLines="50" w:line="288" w:lineRule="auto"/>
        <w:ind w:firstLine="480" w:firstLineChars="200"/>
        <w:rPr>
          <w:sz w:val="24"/>
        </w:rPr>
      </w:pPr>
      <w:r>
        <w:rPr>
          <w:rFonts w:hint="eastAsia"/>
          <w:sz w:val="24"/>
        </w:rPr>
        <w:t>1.5委托方应按协议约定向受托方支付相应的费用，逾期支付的，经受托方催告后仍不支付，从逾期之日起每逾期一日向受托方支付应付金额的千分之二作为违约金；逾期达20日，受托方有权解除合同。</w:t>
      </w:r>
    </w:p>
    <w:p>
      <w:pPr>
        <w:spacing w:before="156" w:beforeLines="50" w:line="288" w:lineRule="auto"/>
        <w:rPr>
          <w:sz w:val="24"/>
        </w:rPr>
      </w:pPr>
      <w:r>
        <w:rPr>
          <w:rFonts w:hint="eastAsia"/>
          <w:sz w:val="24"/>
        </w:rPr>
        <w:t>2.受托方：</w:t>
      </w:r>
    </w:p>
    <w:p>
      <w:pPr>
        <w:spacing w:before="156" w:beforeLines="50" w:line="288" w:lineRule="auto"/>
        <w:rPr>
          <w:sz w:val="24"/>
        </w:rPr>
      </w:pPr>
      <w:r>
        <w:rPr>
          <w:rFonts w:hint="eastAsia"/>
          <w:sz w:val="24"/>
        </w:rPr>
        <w:t>在试验过程中，如果出现：</w:t>
      </w:r>
    </w:p>
    <w:p>
      <w:pPr>
        <w:spacing w:before="156" w:beforeLines="50" w:line="288" w:lineRule="auto"/>
        <w:ind w:firstLine="480" w:firstLineChars="200"/>
        <w:rPr>
          <w:sz w:val="24"/>
        </w:rPr>
      </w:pPr>
      <w:r>
        <w:rPr>
          <w:rFonts w:hint="eastAsia"/>
          <w:sz w:val="24"/>
        </w:rPr>
        <w:t>2.1研究者的诊疗行为被医学会认定为医疗事故；</w:t>
      </w:r>
    </w:p>
    <w:p>
      <w:pPr>
        <w:spacing w:before="156" w:beforeLines="50" w:line="288" w:lineRule="auto"/>
        <w:ind w:firstLine="480" w:firstLineChars="200"/>
        <w:rPr>
          <w:sz w:val="24"/>
        </w:rPr>
      </w:pPr>
      <w:r>
        <w:rPr>
          <w:rFonts w:hint="eastAsia"/>
          <w:sz w:val="24"/>
        </w:rPr>
        <w:t>2.2研究者的诊疗行为存在过错与损害后果之间存在因果关系，且有相关司法鉴定中心出具的司法鉴定意见书；</w:t>
      </w:r>
    </w:p>
    <w:p>
      <w:pPr>
        <w:spacing w:before="156" w:beforeLines="50" w:line="288" w:lineRule="auto"/>
        <w:ind w:left="19" w:leftChars="9" w:firstLine="458" w:firstLineChars="191"/>
        <w:rPr>
          <w:sz w:val="24"/>
        </w:rPr>
      </w:pPr>
      <w:r>
        <w:rPr>
          <w:rFonts w:hint="eastAsia"/>
          <w:sz w:val="24"/>
        </w:rPr>
        <w:t>2.3因研究者未遵从受托方伦理委员会批准临床试验方案而造成受试者的损害；</w:t>
      </w:r>
    </w:p>
    <w:p>
      <w:pPr>
        <w:spacing w:before="156" w:beforeLines="50" w:line="288" w:lineRule="auto"/>
        <w:ind w:left="19" w:leftChars="9" w:firstLine="458" w:firstLineChars="191"/>
        <w:rPr>
          <w:sz w:val="24"/>
        </w:rPr>
      </w:pPr>
      <w:r>
        <w:rPr>
          <w:rFonts w:hint="eastAsia"/>
          <w:sz w:val="24"/>
        </w:rPr>
        <w:t>2.4因研究者违背现行国家药品监督管理局（NMPA）的规定及相关的法律、法规或规章，导致的受试者的损害；</w:t>
      </w:r>
    </w:p>
    <w:p>
      <w:pPr>
        <w:spacing w:before="156" w:beforeLines="50" w:line="288" w:lineRule="auto"/>
        <w:ind w:firstLine="480" w:firstLineChars="200"/>
        <w:rPr>
          <w:sz w:val="24"/>
        </w:rPr>
      </w:pPr>
      <w:r>
        <w:rPr>
          <w:rFonts w:hint="eastAsia"/>
          <w:sz w:val="24"/>
        </w:rPr>
        <w:t>2.5因研究者违背保密原则，有意或无意泄露申办者相关保密信息，侵犯申办者知识产权等，造成申办者损失并要求予以赔偿。</w:t>
      </w:r>
    </w:p>
    <w:p>
      <w:pPr>
        <w:spacing w:before="156" w:beforeLines="50" w:line="288" w:lineRule="auto"/>
        <w:ind w:firstLine="480" w:firstLineChars="200"/>
        <w:rPr>
          <w:sz w:val="24"/>
        </w:rPr>
      </w:pPr>
      <w:r>
        <w:rPr>
          <w:rFonts w:hint="eastAsia"/>
          <w:sz w:val="24"/>
        </w:rPr>
        <w:t>以上情况则由受托方及研究者承担责任。</w:t>
      </w:r>
    </w:p>
    <w:p>
      <w:pPr>
        <w:spacing w:before="156" w:beforeLines="50" w:line="288" w:lineRule="auto"/>
        <w:outlineLvl w:val="0"/>
        <w:rPr>
          <w:rFonts w:ascii="宋体" w:hAnsi="宋体"/>
          <w:b/>
          <w:sz w:val="24"/>
        </w:rPr>
      </w:pPr>
      <w:r>
        <w:rPr>
          <w:rFonts w:hint="eastAsia" w:ascii="宋体" w:hAnsi="宋体"/>
          <w:b/>
          <w:sz w:val="24"/>
        </w:rPr>
        <w:t>第九条  合同变更、生效及争议处理方法：</w:t>
      </w:r>
    </w:p>
    <w:p>
      <w:pPr>
        <w:numPr>
          <w:ilvl w:val="0"/>
          <w:numId w:val="6"/>
        </w:numPr>
        <w:spacing w:before="156" w:beforeLines="50" w:line="288" w:lineRule="auto"/>
        <w:rPr>
          <w:sz w:val="24"/>
        </w:rPr>
      </w:pPr>
      <w:r>
        <w:rPr>
          <w:rFonts w:hint="eastAsia"/>
          <w:sz w:val="24"/>
        </w:rPr>
        <w:t>若本协议被终止，则委托方将负责补偿研究者和/或临床试验机构依据本协议条款实际履行的研究活动，以及在解除通知之前产生的合理且不可撤销的费用。任何预先支付的款项将依照实际的履行按比例计算并将多余的款项归还委托方。研究者应在本协议完成或提前终止之后及时向委托方提供适用的法律法规所要求的所有文件以及归还委托方提供的与研究有关的任何设备和材料。</w:t>
      </w:r>
    </w:p>
    <w:p>
      <w:pPr>
        <w:numPr>
          <w:ilvl w:val="0"/>
          <w:numId w:val="6"/>
        </w:numPr>
        <w:spacing w:before="156" w:beforeLines="50" w:line="288" w:lineRule="auto"/>
        <w:rPr>
          <w:sz w:val="24"/>
        </w:rPr>
      </w:pPr>
      <w:r>
        <w:rPr>
          <w:rFonts w:hint="eastAsia"/>
          <w:sz w:val="24"/>
        </w:rPr>
        <w:t>以上未尽事宜，由各方本着互助的诚意协商解决，或另订书面补充协议。</w:t>
      </w:r>
    </w:p>
    <w:p>
      <w:pPr>
        <w:numPr>
          <w:ilvl w:val="0"/>
          <w:numId w:val="6"/>
        </w:numPr>
        <w:spacing w:before="156" w:beforeLines="50" w:line="288" w:lineRule="auto"/>
        <w:rPr>
          <w:sz w:val="24"/>
        </w:rPr>
      </w:pPr>
      <w:r>
        <w:rPr>
          <w:rFonts w:hint="eastAsia"/>
          <w:sz w:val="24"/>
        </w:rPr>
        <w:t>合同若有中、英文版本，需要注明：若两种版本内容不一致时以中文版本为准。</w:t>
      </w:r>
    </w:p>
    <w:p>
      <w:pPr>
        <w:numPr>
          <w:ilvl w:val="0"/>
          <w:numId w:val="6"/>
        </w:numPr>
        <w:spacing w:before="156" w:beforeLines="50" w:line="288" w:lineRule="auto"/>
        <w:rPr>
          <w:rFonts w:ascii="宋体" w:hAnsi="宋体"/>
          <w:b/>
          <w:sz w:val="24"/>
        </w:rPr>
      </w:pPr>
      <w:r>
        <w:rPr>
          <w:rFonts w:hint="eastAsia"/>
          <w:sz w:val="24"/>
        </w:rPr>
        <w:t>本项目的试验方案和中国《药物临床试验质量管理规范》（GCP）和其他相关法律法规适用于本协议。</w:t>
      </w:r>
    </w:p>
    <w:p>
      <w:pPr>
        <w:numPr>
          <w:ilvl w:val="0"/>
          <w:numId w:val="6"/>
        </w:numPr>
        <w:spacing w:before="156" w:beforeLines="50" w:line="288" w:lineRule="auto"/>
        <w:rPr>
          <w:rFonts w:ascii="宋体" w:hAnsi="宋体"/>
          <w:b/>
          <w:sz w:val="24"/>
        </w:rPr>
      </w:pPr>
      <w:r>
        <w:rPr>
          <w:rFonts w:hint="eastAsia"/>
          <w:sz w:val="24"/>
        </w:rPr>
        <w:t>本合同以及任何因本合同或其主旨引起或与之相关的争议或索赔应由中华人民共和国法律管辖和解释，冲突法规则除外。各方应信守合同，若有争议，各方协商解决。经协商仍不能达成一致意见的，</w:t>
      </w:r>
      <w:r>
        <w:rPr>
          <w:rFonts w:hint="eastAsia" w:hAnsi="宋体" w:cs="宋体"/>
          <w:color w:val="000000"/>
          <w:sz w:val="24"/>
        </w:rPr>
        <w:t>任何一方均可到北京市朝阳区人民法院</w:t>
      </w:r>
      <w:r>
        <w:rPr>
          <w:rFonts w:hint="eastAsia" w:hAnsi="宋体" w:cs="宋体"/>
          <w:sz w:val="24"/>
        </w:rPr>
        <w:t>提起诉讼。</w:t>
      </w:r>
    </w:p>
    <w:p>
      <w:pPr>
        <w:spacing w:before="156" w:beforeLines="50" w:line="288" w:lineRule="auto"/>
        <w:rPr>
          <w:rFonts w:ascii="宋体" w:hAnsi="宋体"/>
          <w:b/>
          <w:sz w:val="24"/>
        </w:rPr>
      </w:pPr>
    </w:p>
    <w:p>
      <w:pPr>
        <w:spacing w:before="156" w:beforeLines="50" w:line="288" w:lineRule="auto"/>
        <w:outlineLvl w:val="0"/>
        <w:rPr>
          <w:rFonts w:ascii="宋体" w:hAnsi="宋体"/>
          <w:b/>
          <w:sz w:val="24"/>
        </w:rPr>
      </w:pPr>
      <w:r>
        <w:rPr>
          <w:rFonts w:hint="eastAsia" w:ascii="宋体" w:hAnsi="宋体"/>
          <w:b/>
          <w:sz w:val="24"/>
        </w:rPr>
        <w:t xml:space="preserve">第十条  </w:t>
      </w:r>
      <w:r>
        <w:rPr>
          <w:rFonts w:hint="eastAsia" w:hAnsi="宋体" w:cs="宋体"/>
          <w:color w:val="000000"/>
          <w:sz w:val="24"/>
        </w:rPr>
        <w:t>本合同一式伍份，委托方贰份，受托方叁份，具有同等法律效力。</w:t>
      </w:r>
    </w:p>
    <w:p>
      <w:pPr>
        <w:widowControl/>
        <w:jc w:val="left"/>
        <w:rPr>
          <w:rFonts w:ascii="宋体" w:hAnsi="宋体"/>
          <w:b/>
          <w:sz w:val="24"/>
        </w:rPr>
      </w:pPr>
      <w:r>
        <w:rPr>
          <w:rFonts w:ascii="宋体" w:hAnsi="宋体"/>
          <w:b/>
          <w:sz w:val="24"/>
        </w:rPr>
        <w:br w:type="page"/>
      </w:r>
    </w:p>
    <w:p>
      <w:pPr>
        <w:spacing w:before="156" w:beforeLines="50" w:line="288" w:lineRule="auto"/>
        <w:rPr>
          <w:rFonts w:ascii="宋体" w:hAnsi="宋体"/>
          <w:b/>
          <w:sz w:val="24"/>
        </w:rPr>
      </w:pPr>
    </w:p>
    <w:tbl>
      <w:tblPr>
        <w:tblStyle w:val="8"/>
        <w:tblW w:w="0" w:type="auto"/>
        <w:jc w:val="center"/>
        <w:tblLayout w:type="fixed"/>
        <w:tblCellMar>
          <w:top w:w="0" w:type="dxa"/>
          <w:left w:w="108" w:type="dxa"/>
          <w:bottom w:w="0" w:type="dxa"/>
          <w:right w:w="108" w:type="dxa"/>
        </w:tblCellMar>
      </w:tblPr>
      <w:tblGrid>
        <w:gridCol w:w="4248"/>
        <w:gridCol w:w="4680"/>
      </w:tblGrid>
      <w:tr>
        <w:tblPrEx>
          <w:tblCellMar>
            <w:top w:w="0" w:type="dxa"/>
            <w:left w:w="108" w:type="dxa"/>
            <w:bottom w:w="0" w:type="dxa"/>
            <w:right w:w="108" w:type="dxa"/>
          </w:tblCellMar>
        </w:tblPrEx>
        <w:trPr>
          <w:jc w:val="center"/>
        </w:trPr>
        <w:tc>
          <w:tcPr>
            <w:tcW w:w="4248" w:type="dxa"/>
            <w:vAlign w:val="center"/>
          </w:tcPr>
          <w:p>
            <w:pPr>
              <w:adjustRightInd w:val="0"/>
              <w:snapToGrid w:val="0"/>
              <w:spacing w:line="360" w:lineRule="auto"/>
              <w:rPr>
                <w:b/>
                <w:bCs/>
                <w:color w:val="000000"/>
                <w:sz w:val="28"/>
                <w:szCs w:val="28"/>
              </w:rPr>
            </w:pPr>
            <w:r>
              <w:rPr>
                <w:rFonts w:hint="eastAsia"/>
                <w:b/>
                <w:bCs/>
                <w:color w:val="000000"/>
                <w:sz w:val="28"/>
                <w:szCs w:val="28"/>
              </w:rPr>
              <w:t>委托方：</w:t>
            </w:r>
            <w:r>
              <w:rPr>
                <w:rFonts w:hint="eastAsia" w:ascii="宋体" w:hAnsi="宋体"/>
                <w:b/>
                <w:bCs/>
                <w:color w:val="000000"/>
                <w:sz w:val="28"/>
                <w:szCs w:val="28"/>
              </w:rPr>
              <w:t xml:space="preserve">  </w:t>
            </w:r>
          </w:p>
        </w:tc>
        <w:tc>
          <w:tcPr>
            <w:tcW w:w="4680" w:type="dxa"/>
            <w:vAlign w:val="center"/>
          </w:tcPr>
          <w:p>
            <w:pPr>
              <w:adjustRightInd w:val="0"/>
              <w:snapToGrid w:val="0"/>
              <w:spacing w:line="360" w:lineRule="auto"/>
              <w:rPr>
                <w:b/>
                <w:bCs/>
                <w:color w:val="000000"/>
                <w:sz w:val="28"/>
                <w:szCs w:val="28"/>
              </w:rPr>
            </w:pPr>
            <w:r>
              <w:rPr>
                <w:rFonts w:hint="eastAsia"/>
                <w:b/>
                <w:bCs/>
                <w:color w:val="000000"/>
                <w:sz w:val="28"/>
                <w:szCs w:val="28"/>
              </w:rPr>
              <w:t>受托方：</w:t>
            </w:r>
            <w:r>
              <w:rPr>
                <w:rFonts w:hint="eastAsia" w:ascii="宋体" w:hAnsi="宋体"/>
                <w:bCs/>
                <w:sz w:val="24"/>
              </w:rPr>
              <w:t>首都医科大学附属北京地坛</w:t>
            </w:r>
            <w:r>
              <w:rPr>
                <w:rFonts w:ascii="宋体" w:hAnsi="宋体"/>
                <w:bCs/>
                <w:sz w:val="24"/>
              </w:rPr>
              <w:t>医院</w:t>
            </w:r>
          </w:p>
        </w:tc>
      </w:tr>
      <w:tr>
        <w:tblPrEx>
          <w:tblCellMar>
            <w:top w:w="0" w:type="dxa"/>
            <w:left w:w="108" w:type="dxa"/>
            <w:bottom w:w="0" w:type="dxa"/>
            <w:right w:w="108" w:type="dxa"/>
          </w:tblCellMar>
        </w:tblPrEx>
        <w:trPr>
          <w:jc w:val="center"/>
        </w:trPr>
        <w:tc>
          <w:tcPr>
            <w:tcW w:w="4248" w:type="dxa"/>
          </w:tcPr>
          <w:p>
            <w:pPr>
              <w:adjustRightInd w:val="0"/>
              <w:snapToGrid w:val="0"/>
              <w:spacing w:line="360" w:lineRule="auto"/>
              <w:rPr>
                <w:b/>
                <w:bCs/>
                <w:szCs w:val="21"/>
              </w:rPr>
            </w:pPr>
          </w:p>
          <w:p>
            <w:pPr>
              <w:adjustRightInd w:val="0"/>
              <w:snapToGrid w:val="0"/>
              <w:spacing w:line="360" w:lineRule="auto"/>
              <w:rPr>
                <w:b/>
                <w:bCs/>
                <w:szCs w:val="21"/>
              </w:rPr>
            </w:pPr>
            <w:r>
              <w:rPr>
                <w:rFonts w:hint="eastAsia"/>
                <w:b/>
                <w:bCs/>
                <w:szCs w:val="21"/>
              </w:rPr>
              <w:t>法定代表人</w:t>
            </w:r>
            <w:r>
              <w:commentReference w:id="1"/>
            </w:r>
            <w:r>
              <w:rPr>
                <w:rFonts w:hint="eastAsia"/>
                <w:b/>
                <w:bCs/>
                <w:szCs w:val="21"/>
              </w:rPr>
              <w:t>：</w:t>
            </w:r>
          </w:p>
        </w:tc>
        <w:tc>
          <w:tcPr>
            <w:tcW w:w="4680" w:type="dxa"/>
            <w:vAlign w:val="center"/>
          </w:tcPr>
          <w:p>
            <w:pPr>
              <w:adjustRightInd w:val="0"/>
              <w:snapToGrid w:val="0"/>
              <w:spacing w:line="360" w:lineRule="auto"/>
              <w:rPr>
                <w:b/>
                <w:bCs/>
                <w:szCs w:val="21"/>
              </w:rPr>
            </w:pPr>
          </w:p>
          <w:p>
            <w:pPr>
              <w:adjustRightInd w:val="0"/>
              <w:snapToGrid w:val="0"/>
              <w:spacing w:line="360" w:lineRule="auto"/>
              <w:rPr>
                <w:b/>
                <w:bCs/>
                <w:szCs w:val="21"/>
              </w:rPr>
            </w:pPr>
            <w:r>
              <w:rPr>
                <w:rFonts w:hint="eastAsia"/>
                <w:b/>
                <w:bCs/>
                <w:szCs w:val="21"/>
              </w:rPr>
              <w:t>法定代表人：</w:t>
            </w:r>
          </w:p>
        </w:tc>
      </w:tr>
      <w:tr>
        <w:tblPrEx>
          <w:tblCellMar>
            <w:top w:w="0" w:type="dxa"/>
            <w:left w:w="108" w:type="dxa"/>
            <w:bottom w:w="0" w:type="dxa"/>
            <w:right w:w="108" w:type="dxa"/>
          </w:tblCellMar>
        </w:tblPrEx>
        <w:trPr>
          <w:jc w:val="center"/>
        </w:trPr>
        <w:tc>
          <w:tcPr>
            <w:tcW w:w="4248" w:type="dxa"/>
          </w:tcPr>
          <w:p>
            <w:pPr>
              <w:adjustRightInd w:val="0"/>
              <w:snapToGrid w:val="0"/>
              <w:spacing w:line="360" w:lineRule="auto"/>
              <w:rPr>
                <w:b/>
                <w:bCs/>
                <w:szCs w:val="21"/>
              </w:rPr>
            </w:pPr>
            <w:r>
              <w:rPr>
                <w:rFonts w:hint="eastAsia"/>
                <w:b/>
                <w:bCs/>
                <w:szCs w:val="21"/>
              </w:rPr>
              <w:t>（单位盖章）</w:t>
            </w:r>
          </w:p>
        </w:tc>
        <w:tc>
          <w:tcPr>
            <w:tcW w:w="4680" w:type="dxa"/>
            <w:vAlign w:val="center"/>
          </w:tcPr>
          <w:p>
            <w:pPr>
              <w:adjustRightInd w:val="0"/>
              <w:snapToGrid w:val="0"/>
              <w:spacing w:line="360" w:lineRule="auto"/>
              <w:rPr>
                <w:b/>
                <w:bCs/>
                <w:szCs w:val="21"/>
              </w:rPr>
            </w:pPr>
            <w:r>
              <w:rPr>
                <w:rFonts w:hint="eastAsia"/>
                <w:b/>
                <w:bCs/>
                <w:szCs w:val="21"/>
              </w:rPr>
              <w:t xml:space="preserve">（单位盖章） </w:t>
            </w:r>
          </w:p>
        </w:tc>
      </w:tr>
      <w:tr>
        <w:tblPrEx>
          <w:tblCellMar>
            <w:top w:w="0" w:type="dxa"/>
            <w:left w:w="108" w:type="dxa"/>
            <w:bottom w:w="0" w:type="dxa"/>
            <w:right w:w="108" w:type="dxa"/>
          </w:tblCellMar>
        </w:tblPrEx>
        <w:trPr>
          <w:jc w:val="center"/>
        </w:trPr>
        <w:tc>
          <w:tcPr>
            <w:tcW w:w="4248" w:type="dxa"/>
          </w:tcPr>
          <w:p>
            <w:pPr>
              <w:adjustRightInd w:val="0"/>
              <w:snapToGrid w:val="0"/>
              <w:spacing w:line="360" w:lineRule="auto"/>
              <w:rPr>
                <w:b/>
                <w:bCs/>
                <w:color w:val="000000"/>
                <w:szCs w:val="21"/>
              </w:rPr>
            </w:pPr>
          </w:p>
        </w:tc>
        <w:tc>
          <w:tcPr>
            <w:tcW w:w="4680" w:type="dxa"/>
            <w:vAlign w:val="center"/>
          </w:tcPr>
          <w:p>
            <w:pPr>
              <w:spacing w:line="360" w:lineRule="auto"/>
              <w:rPr>
                <w:b/>
                <w:bCs/>
                <w:color w:val="000000"/>
                <w:szCs w:val="21"/>
              </w:rPr>
            </w:pPr>
            <w:r>
              <w:rPr>
                <w:rFonts w:hint="eastAsia"/>
                <w:b/>
                <w:bCs/>
                <w:color w:val="000000"/>
                <w:szCs w:val="21"/>
              </w:rPr>
              <w:t xml:space="preserve"> </w:t>
            </w:r>
          </w:p>
        </w:tc>
      </w:tr>
      <w:tr>
        <w:tblPrEx>
          <w:tblCellMar>
            <w:top w:w="0" w:type="dxa"/>
            <w:left w:w="108" w:type="dxa"/>
            <w:bottom w:w="0" w:type="dxa"/>
            <w:right w:w="108" w:type="dxa"/>
          </w:tblCellMar>
        </w:tblPrEx>
        <w:trPr>
          <w:trHeight w:val="636" w:hRule="atLeast"/>
          <w:jc w:val="center"/>
        </w:trPr>
        <w:tc>
          <w:tcPr>
            <w:tcW w:w="4248" w:type="dxa"/>
          </w:tcPr>
          <w:p>
            <w:pPr>
              <w:adjustRightInd w:val="0"/>
              <w:snapToGrid w:val="0"/>
              <w:spacing w:before="156" w:beforeLines="50" w:after="156" w:afterLines="50" w:line="360" w:lineRule="auto"/>
              <w:rPr>
                <w:b/>
                <w:bCs/>
                <w:color w:val="000000"/>
                <w:szCs w:val="21"/>
              </w:rPr>
            </w:pPr>
            <w:r>
              <w:rPr>
                <w:rFonts w:hint="eastAsia"/>
                <w:b/>
                <w:bCs/>
                <w:color w:val="000000"/>
                <w:szCs w:val="21"/>
              </w:rPr>
              <w:t>签约时间：   年   月   日</w:t>
            </w:r>
          </w:p>
        </w:tc>
        <w:tc>
          <w:tcPr>
            <w:tcW w:w="4680" w:type="dxa"/>
            <w:vAlign w:val="center"/>
          </w:tcPr>
          <w:p>
            <w:pPr>
              <w:adjustRightInd w:val="0"/>
              <w:snapToGrid w:val="0"/>
              <w:spacing w:line="360" w:lineRule="auto"/>
              <w:rPr>
                <w:b/>
                <w:bCs/>
                <w:color w:val="000000"/>
                <w:szCs w:val="21"/>
              </w:rPr>
            </w:pPr>
            <w:r>
              <w:rPr>
                <w:rFonts w:hint="eastAsia"/>
                <w:b/>
                <w:bCs/>
                <w:color w:val="000000"/>
                <w:szCs w:val="21"/>
              </w:rPr>
              <w:t>签约时间：   年   月   日</w:t>
            </w:r>
          </w:p>
        </w:tc>
      </w:tr>
      <w:tr>
        <w:tblPrEx>
          <w:tblCellMar>
            <w:top w:w="0" w:type="dxa"/>
            <w:left w:w="108" w:type="dxa"/>
            <w:bottom w:w="0" w:type="dxa"/>
            <w:right w:w="108" w:type="dxa"/>
          </w:tblCellMar>
        </w:tblPrEx>
        <w:trPr>
          <w:trHeight w:val="636" w:hRule="atLeast"/>
          <w:jc w:val="center"/>
        </w:trPr>
        <w:tc>
          <w:tcPr>
            <w:tcW w:w="4248" w:type="dxa"/>
          </w:tcPr>
          <w:p>
            <w:pPr>
              <w:adjustRightInd w:val="0"/>
              <w:snapToGrid w:val="0"/>
              <w:spacing w:before="156" w:beforeLines="50" w:after="156" w:afterLines="50" w:line="360" w:lineRule="auto"/>
              <w:rPr>
                <w:b/>
                <w:bCs/>
                <w:color w:val="000000"/>
                <w:szCs w:val="21"/>
              </w:rPr>
            </w:pPr>
          </w:p>
        </w:tc>
        <w:tc>
          <w:tcPr>
            <w:tcW w:w="4680" w:type="dxa"/>
            <w:vAlign w:val="center"/>
          </w:tcPr>
          <w:p>
            <w:pPr>
              <w:adjustRightInd w:val="0"/>
              <w:snapToGrid w:val="0"/>
              <w:spacing w:line="360" w:lineRule="auto"/>
              <w:rPr>
                <w:b/>
                <w:bCs/>
                <w:color w:val="000000"/>
                <w:szCs w:val="21"/>
              </w:rPr>
            </w:pPr>
          </w:p>
        </w:tc>
      </w:tr>
      <w:tr>
        <w:tblPrEx>
          <w:tblCellMar>
            <w:top w:w="0" w:type="dxa"/>
            <w:left w:w="108" w:type="dxa"/>
            <w:bottom w:w="0" w:type="dxa"/>
            <w:right w:w="108" w:type="dxa"/>
          </w:tblCellMar>
        </w:tblPrEx>
        <w:trPr>
          <w:jc w:val="center"/>
        </w:trPr>
        <w:tc>
          <w:tcPr>
            <w:tcW w:w="4248" w:type="dxa"/>
          </w:tcPr>
          <w:p>
            <w:pPr>
              <w:spacing w:line="360" w:lineRule="auto"/>
              <w:rPr>
                <w:b/>
                <w:bCs/>
                <w:color w:val="000000"/>
                <w:szCs w:val="21"/>
              </w:rPr>
            </w:pPr>
            <w:r>
              <w:rPr>
                <w:rFonts w:hint="eastAsia"/>
                <w:b/>
                <w:bCs/>
                <w:color w:val="000000"/>
                <w:szCs w:val="21"/>
              </w:rPr>
              <w:t>项目负责人：</w:t>
            </w:r>
          </w:p>
          <w:p>
            <w:pPr>
              <w:spacing w:line="360" w:lineRule="auto"/>
              <w:rPr>
                <w:b/>
                <w:bCs/>
                <w:color w:val="000000"/>
                <w:szCs w:val="21"/>
              </w:rPr>
            </w:pPr>
          </w:p>
          <w:p>
            <w:pPr>
              <w:spacing w:line="360" w:lineRule="auto"/>
              <w:rPr>
                <w:b/>
                <w:bCs/>
                <w:color w:val="000000"/>
                <w:szCs w:val="21"/>
              </w:rPr>
            </w:pPr>
            <w:r>
              <w:rPr>
                <w:rFonts w:hint="eastAsia"/>
                <w:b/>
                <w:bCs/>
                <w:color w:val="000000"/>
                <w:szCs w:val="21"/>
              </w:rPr>
              <w:t>签约时间：   年   月   日</w:t>
            </w:r>
          </w:p>
        </w:tc>
        <w:tc>
          <w:tcPr>
            <w:tcW w:w="4680" w:type="dxa"/>
            <w:vAlign w:val="center"/>
          </w:tcPr>
          <w:p>
            <w:pPr>
              <w:spacing w:line="360" w:lineRule="auto"/>
              <w:rPr>
                <w:b/>
                <w:bCs/>
                <w:color w:val="000000"/>
                <w:szCs w:val="21"/>
              </w:rPr>
            </w:pPr>
            <w:r>
              <w:rPr>
                <w:rFonts w:hint="eastAsia"/>
                <w:b/>
                <w:bCs/>
                <w:color w:val="000000"/>
                <w:szCs w:val="21"/>
              </w:rPr>
              <w:t xml:space="preserve">主要研究者： </w:t>
            </w:r>
          </w:p>
          <w:p>
            <w:pPr>
              <w:spacing w:line="360" w:lineRule="auto"/>
              <w:rPr>
                <w:b/>
                <w:bCs/>
                <w:color w:val="000000"/>
                <w:szCs w:val="21"/>
              </w:rPr>
            </w:pPr>
          </w:p>
          <w:p>
            <w:pPr>
              <w:spacing w:line="360" w:lineRule="auto"/>
              <w:rPr>
                <w:b/>
                <w:bCs/>
                <w:color w:val="000000"/>
                <w:szCs w:val="21"/>
              </w:rPr>
            </w:pPr>
            <w:r>
              <w:rPr>
                <w:rFonts w:hint="eastAsia"/>
                <w:b/>
                <w:bCs/>
                <w:color w:val="000000"/>
                <w:szCs w:val="21"/>
              </w:rPr>
              <w:t>签约时间：   年   月   日</w:t>
            </w:r>
          </w:p>
        </w:tc>
      </w:tr>
    </w:tbl>
    <w:p>
      <w:pPr>
        <w:spacing w:before="156" w:beforeLines="50" w:line="288" w:lineRule="auto"/>
        <w:rPr>
          <w:rFonts w:ascii="宋体" w:hAnsi="宋体"/>
          <w:b/>
          <w:sz w:val="24"/>
        </w:rPr>
      </w:pPr>
    </w:p>
    <w:p>
      <w:pPr>
        <w:widowControl/>
        <w:spacing w:line="288" w:lineRule="auto"/>
        <w:rPr>
          <w:sz w:val="24"/>
        </w:rPr>
      </w:pPr>
      <w:r>
        <w:rPr>
          <w:sz w:val="24"/>
        </w:rPr>
        <w:br w:type="page"/>
      </w:r>
    </w:p>
    <w:p>
      <w:pPr>
        <w:spacing w:line="288" w:lineRule="auto"/>
        <w:rPr>
          <w:vanish/>
        </w:rPr>
      </w:pPr>
    </w:p>
    <w:tbl>
      <w:tblPr>
        <w:tblStyle w:val="8"/>
        <w:tblpPr w:leftFromText="180" w:rightFromText="180" w:vertAnchor="page" w:horzAnchor="margin" w:tblpY="3159"/>
        <w:tblOverlap w:val="never"/>
        <w:tblW w:w="4990" w:type="pct"/>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839"/>
        <w:gridCol w:w="1133"/>
        <w:gridCol w:w="1276"/>
        <w:gridCol w:w="1135"/>
        <w:gridCol w:w="851"/>
        <w:gridCol w:w="1135"/>
        <w:gridCol w:w="113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5000" w:type="pct"/>
            <w:gridSpan w:val="7"/>
            <w:tcBorders>
              <w:top w:val="nil"/>
              <w:left w:val="nil"/>
              <w:bottom w:val="single" w:color="auto" w:sz="4" w:space="0"/>
              <w:right w:val="nil"/>
            </w:tcBorders>
            <w:shd w:val="clear" w:color="auto" w:fill="auto"/>
            <w:vAlign w:val="center"/>
          </w:tcPr>
          <w:p>
            <w:pPr>
              <w:adjustRightInd w:val="0"/>
              <w:snapToGrid w:val="0"/>
              <w:spacing w:line="288" w:lineRule="auto"/>
              <w:textAlignment w:val="baseline"/>
              <w:rPr>
                <w:b/>
                <w:kern w:val="0"/>
                <w:sz w:val="24"/>
                <w:lang w:val="lv-LV"/>
              </w:rPr>
            </w:pPr>
          </w:p>
          <w:p>
            <w:pPr>
              <w:adjustRightInd w:val="0"/>
              <w:snapToGrid w:val="0"/>
              <w:spacing w:line="288" w:lineRule="auto"/>
              <w:textAlignment w:val="baseline"/>
              <w:rPr>
                <w:b/>
                <w:kern w:val="0"/>
                <w:sz w:val="24"/>
                <w:lang w:val="lv-LV"/>
              </w:rPr>
            </w:pPr>
            <w:r>
              <w:rPr>
                <w:rFonts w:hint="eastAsia"/>
                <w:b/>
                <w:kern w:val="0"/>
                <w:sz w:val="24"/>
                <w:lang w:val="lv-LV"/>
              </w:rPr>
              <w:t>表</w:t>
            </w:r>
            <w:r>
              <w:rPr>
                <w:b/>
                <w:kern w:val="0"/>
                <w:sz w:val="24"/>
                <w:lang w:val="lv-LV"/>
              </w:rPr>
              <w:t>2.受试者</w:t>
            </w:r>
            <w:r>
              <w:rPr>
                <w:rFonts w:hint="eastAsia"/>
                <w:b/>
                <w:kern w:val="0"/>
                <w:sz w:val="24"/>
                <w:lang w:val="lv-LV"/>
              </w:rPr>
              <w:t>检查费明细表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pacing w:line="288" w:lineRule="auto"/>
              <w:textAlignment w:val="baseline"/>
              <w:rPr>
                <w:b/>
                <w:kern w:val="0"/>
                <w:sz w:val="22"/>
                <w:szCs w:val="22"/>
                <w:lang w:val="lv-LV"/>
              </w:rPr>
            </w:pPr>
            <w:r>
              <w:rPr>
                <w:rFonts w:hint="eastAsia"/>
                <w:b/>
                <w:kern w:val="0"/>
                <w:sz w:val="22"/>
                <w:szCs w:val="22"/>
                <w:lang w:val="lv-LV"/>
              </w:rPr>
              <w:t>检查项目</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
                <w:kern w:val="0"/>
                <w:sz w:val="22"/>
                <w:szCs w:val="22"/>
                <w:lang w:val="lv-LV"/>
              </w:rPr>
            </w:pPr>
            <w:r>
              <w:rPr>
                <w:rFonts w:hint="eastAsia"/>
                <w:b/>
                <w:kern w:val="0"/>
                <w:sz w:val="22"/>
                <w:szCs w:val="22"/>
                <w:lang w:val="lv-LV"/>
              </w:rPr>
              <w:t>单价</w:t>
            </w:r>
          </w:p>
        </w:tc>
        <w:tc>
          <w:tcPr>
            <w:tcW w:w="750"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b/>
                <w:kern w:val="0"/>
                <w:sz w:val="22"/>
                <w:szCs w:val="22"/>
                <w:lang w:val="lv-LV"/>
              </w:rPr>
            </w:pPr>
            <w:r>
              <w:rPr>
                <w:rFonts w:hint="eastAsia"/>
                <w:b/>
                <w:kern w:val="0"/>
                <w:sz w:val="22"/>
                <w:szCs w:val="22"/>
                <w:lang w:val="lv-LV"/>
              </w:rPr>
              <w:t>筛选期</w:t>
            </w:r>
          </w:p>
          <w:p>
            <w:pPr>
              <w:adjustRightInd w:val="0"/>
              <w:snapToGrid w:val="0"/>
              <w:spacing w:line="288" w:lineRule="auto"/>
              <w:textAlignment w:val="baseline"/>
              <w:rPr>
                <w:b/>
                <w:kern w:val="0"/>
                <w:sz w:val="22"/>
                <w:szCs w:val="22"/>
                <w:lang w:val="lv-LV"/>
              </w:rPr>
            </w:pPr>
            <w:r>
              <w:rPr>
                <w:rFonts w:hint="eastAsia"/>
                <w:b/>
                <w:kern w:val="0"/>
                <w:sz w:val="22"/>
                <w:szCs w:val="22"/>
                <w:lang w:val="lv-LV"/>
              </w:rPr>
              <w:t>（次数）</w:t>
            </w:r>
          </w:p>
        </w:tc>
        <w:tc>
          <w:tcPr>
            <w:tcW w:w="667"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b/>
                <w:kern w:val="0"/>
                <w:sz w:val="22"/>
                <w:szCs w:val="22"/>
                <w:lang w:val="lv-LV"/>
              </w:rPr>
            </w:pPr>
            <w:r>
              <w:rPr>
                <w:b/>
                <w:kern w:val="0"/>
                <w:sz w:val="22"/>
                <w:szCs w:val="22"/>
                <w:lang w:val="lv-LV"/>
              </w:rPr>
              <w:t>V1</w:t>
            </w:r>
          </w:p>
          <w:p>
            <w:pPr>
              <w:adjustRightInd w:val="0"/>
              <w:snapToGrid w:val="0"/>
              <w:spacing w:line="288" w:lineRule="auto"/>
              <w:textAlignment w:val="baseline"/>
              <w:rPr>
                <w:b/>
                <w:kern w:val="0"/>
                <w:sz w:val="22"/>
                <w:szCs w:val="22"/>
                <w:lang w:val="lv-LV"/>
              </w:rPr>
            </w:pPr>
            <w:r>
              <w:rPr>
                <w:rFonts w:hint="eastAsia"/>
                <w:b/>
                <w:kern w:val="0"/>
                <w:sz w:val="22"/>
                <w:szCs w:val="22"/>
                <w:lang w:val="lv-LV"/>
              </w:rPr>
              <w:t>（次数）</w:t>
            </w:r>
          </w:p>
        </w:tc>
        <w:tc>
          <w:tcPr>
            <w:tcW w:w="500"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b/>
                <w:kern w:val="0"/>
                <w:sz w:val="22"/>
                <w:szCs w:val="22"/>
                <w:lang w:val="lv-LV"/>
              </w:rPr>
            </w:pPr>
            <w:r>
              <w:rPr>
                <w:b/>
                <w:kern w:val="0"/>
                <w:sz w:val="22"/>
                <w:szCs w:val="22"/>
                <w:lang w:val="lv-LV"/>
              </w:rPr>
              <w:t>...</w:t>
            </w:r>
          </w:p>
        </w:tc>
        <w:tc>
          <w:tcPr>
            <w:tcW w:w="667"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b/>
                <w:kern w:val="0"/>
                <w:sz w:val="22"/>
                <w:szCs w:val="22"/>
                <w:lang w:val="lv-LV"/>
              </w:rPr>
            </w:pPr>
            <w:r>
              <w:rPr>
                <w:b/>
                <w:kern w:val="0"/>
                <w:sz w:val="22"/>
                <w:szCs w:val="22"/>
                <w:lang w:val="lv-LV"/>
              </w:rPr>
              <w:t>Vn</w:t>
            </w:r>
          </w:p>
          <w:p>
            <w:pPr>
              <w:adjustRightInd w:val="0"/>
              <w:snapToGrid w:val="0"/>
              <w:spacing w:line="288" w:lineRule="auto"/>
              <w:textAlignment w:val="baseline"/>
              <w:rPr>
                <w:b/>
                <w:kern w:val="0"/>
                <w:sz w:val="22"/>
                <w:szCs w:val="22"/>
                <w:lang w:val="lv-LV"/>
              </w:rPr>
            </w:pPr>
            <w:r>
              <w:rPr>
                <w:rFonts w:hint="eastAsia"/>
                <w:b/>
                <w:kern w:val="0"/>
                <w:sz w:val="22"/>
                <w:szCs w:val="22"/>
                <w:lang w:val="lv-LV"/>
              </w:rPr>
              <w:t>（次数）</w:t>
            </w:r>
          </w:p>
        </w:tc>
        <w:tc>
          <w:tcPr>
            <w:tcW w:w="666"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b/>
                <w:kern w:val="0"/>
                <w:sz w:val="22"/>
                <w:szCs w:val="22"/>
                <w:lang w:val="lv-LV"/>
              </w:rPr>
            </w:pPr>
            <w:r>
              <w:rPr>
                <w:rFonts w:hint="eastAsia"/>
                <w:b/>
                <w:kern w:val="0"/>
                <w:sz w:val="22"/>
                <w:szCs w:val="22"/>
                <w:lang w:val="lv-LV"/>
              </w:rPr>
              <w:t>合计费用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color w:val="000000"/>
                <w:kern w:val="0"/>
                <w:sz w:val="22"/>
                <w:szCs w:val="22"/>
              </w:rPr>
            </w:pPr>
            <w:r>
              <w:rPr>
                <w:rFonts w:hint="eastAsia"/>
                <w:color w:val="000000"/>
                <w:kern w:val="0"/>
                <w:sz w:val="22"/>
                <w:szCs w:val="22"/>
              </w:rPr>
              <w:t>项目1</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75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50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66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color w:val="000000"/>
                <w:kern w:val="0"/>
                <w:sz w:val="22"/>
                <w:szCs w:val="22"/>
              </w:rPr>
            </w:pPr>
            <w:r>
              <w:rPr>
                <w:rFonts w:hint="eastAsia"/>
                <w:color w:val="000000"/>
                <w:kern w:val="0"/>
                <w:sz w:val="22"/>
                <w:szCs w:val="22"/>
              </w:rPr>
              <w:t>项目2</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75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50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66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color w:val="000000"/>
                <w:kern w:val="0"/>
                <w:sz w:val="22"/>
                <w:szCs w:val="22"/>
              </w:rPr>
            </w:pPr>
            <w:r>
              <w:rPr>
                <w:rFonts w:hint="eastAsia"/>
                <w:color w:val="000000"/>
                <w:kern w:val="0"/>
                <w:sz w:val="22"/>
                <w:szCs w:val="22"/>
              </w:rPr>
              <w:t>...</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75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50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66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tcPr>
          <w:p>
            <w:pPr>
              <w:adjustRightInd w:val="0"/>
              <w:snapToGrid w:val="0"/>
              <w:spacing w:line="288" w:lineRule="auto"/>
              <w:textAlignment w:val="baseline"/>
              <w:rPr>
                <w:color w:val="000000"/>
                <w:kern w:val="0"/>
                <w:sz w:val="22"/>
                <w:szCs w:val="22"/>
              </w:rPr>
            </w:pPr>
            <w:r>
              <w:rPr>
                <w:rFonts w:hint="eastAsia"/>
                <w:color w:val="000000"/>
                <w:kern w:val="0"/>
                <w:sz w:val="22"/>
                <w:szCs w:val="22"/>
              </w:rPr>
              <w:t>项目n</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75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50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66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
                <w:bCs/>
                <w:color w:val="000000"/>
                <w:kern w:val="0"/>
                <w:sz w:val="22"/>
                <w:szCs w:val="22"/>
              </w:rPr>
            </w:pPr>
            <w:r>
              <w:rPr>
                <w:rFonts w:hint="eastAsia"/>
                <w:b/>
                <w:bCs/>
                <w:color w:val="000000"/>
                <w:kern w:val="0"/>
                <w:sz w:val="22"/>
                <w:szCs w:val="22"/>
              </w:rPr>
              <w:t>合计</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75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50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66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1" w:hRule="atLeast"/>
        </w:trPr>
        <w:tc>
          <w:tcPr>
            <w:tcW w:w="1082"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
                <w:bCs/>
                <w:color w:val="000000"/>
                <w:kern w:val="0"/>
                <w:sz w:val="22"/>
                <w:szCs w:val="22"/>
              </w:rPr>
            </w:pPr>
            <w:r>
              <w:rPr>
                <w:rFonts w:hint="eastAsia"/>
                <w:b/>
                <w:bCs/>
                <w:color w:val="000000"/>
                <w:kern w:val="0"/>
                <w:sz w:val="22"/>
                <w:szCs w:val="22"/>
              </w:rPr>
              <w:t>合计费用</w:t>
            </w:r>
          </w:p>
        </w:tc>
        <w:tc>
          <w:tcPr>
            <w:tcW w:w="666"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75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500"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c>
          <w:tcPr>
            <w:tcW w:w="667" w:type="pct"/>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eastAsia="lv-LV"/>
              </w:rPr>
            </w:pPr>
          </w:p>
        </w:tc>
        <w:tc>
          <w:tcPr>
            <w:tcW w:w="666"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textAlignment w:val="baseline"/>
              <w:rPr>
                <w:bCs/>
                <w:kern w:val="0"/>
                <w:sz w:val="22"/>
                <w:szCs w:val="22"/>
                <w:lang w:val="lv-LV"/>
              </w:rPr>
            </w:pPr>
          </w:p>
        </w:tc>
      </w:tr>
    </w:tbl>
    <w:p>
      <w:pPr>
        <w:spacing w:line="288" w:lineRule="auto"/>
        <w:jc w:val="right"/>
      </w:pPr>
    </w:p>
    <w:tbl>
      <w:tblPr>
        <w:tblStyle w:val="8"/>
        <w:tblpPr w:leftFromText="180" w:rightFromText="180" w:vertAnchor="page" w:horzAnchor="margin" w:tblpY="1842"/>
        <w:tblOverlap w:val="never"/>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8"/>
        <w:gridCol w:w="1169"/>
        <w:gridCol w:w="993"/>
        <w:gridCol w:w="993"/>
        <w:gridCol w:w="707"/>
        <w:gridCol w:w="851"/>
        <w:gridCol w:w="850"/>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8505" w:type="dxa"/>
            <w:gridSpan w:val="8"/>
            <w:tcBorders>
              <w:top w:val="nil"/>
              <w:left w:val="nil"/>
              <w:bottom w:val="single" w:color="auto" w:sz="4" w:space="0"/>
              <w:right w:val="nil"/>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 w:val="24"/>
              </w:rPr>
              <w:t>表</w:t>
            </w:r>
            <w:r>
              <w:rPr>
                <w:b/>
                <w:kern w:val="0"/>
                <w:sz w:val="24"/>
              </w:rPr>
              <w:t>1.</w:t>
            </w:r>
            <w:r>
              <w:rPr>
                <w:rFonts w:hint="eastAsia"/>
                <w:b/>
                <w:kern w:val="0"/>
                <w:sz w:val="24"/>
              </w:rPr>
              <w:t>研究者观察费明细表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180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费用名目</w:t>
            </w:r>
          </w:p>
        </w:tc>
        <w:tc>
          <w:tcPr>
            <w:tcW w:w="11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筛选期</w:t>
            </w:r>
          </w:p>
        </w:tc>
        <w:tc>
          <w:tcPr>
            <w:tcW w:w="99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V1</w:t>
            </w:r>
          </w:p>
        </w:tc>
        <w:tc>
          <w:tcPr>
            <w:tcW w:w="99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V2</w:t>
            </w: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V3</w:t>
            </w: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Vn</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180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Cs/>
                <w:kern w:val="0"/>
                <w:szCs w:val="21"/>
              </w:rPr>
            </w:pPr>
            <w:r>
              <w:rPr>
                <w:rFonts w:hint="eastAsia"/>
                <w:bCs/>
                <w:kern w:val="0"/>
                <w:szCs w:val="21"/>
              </w:rPr>
              <w:t>研究者观察费</w:t>
            </w:r>
          </w:p>
        </w:tc>
        <w:tc>
          <w:tcPr>
            <w:tcW w:w="116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pacing w:line="288" w:lineRule="auto"/>
              <w:textAlignment w:val="baseline"/>
              <w:rPr>
                <w:kern w:val="0"/>
                <w:sz w:val="18"/>
                <w:szCs w:val="18"/>
              </w:rPr>
            </w:pPr>
          </w:p>
        </w:tc>
        <w:tc>
          <w:tcPr>
            <w:tcW w:w="993"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pacing w:line="288" w:lineRule="auto"/>
              <w:textAlignment w:val="baseline"/>
              <w:rPr>
                <w:kern w:val="0"/>
                <w:sz w:val="18"/>
                <w:szCs w:val="18"/>
              </w:rPr>
            </w:pPr>
          </w:p>
        </w:tc>
        <w:tc>
          <w:tcPr>
            <w:tcW w:w="993"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707"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851"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850"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1134"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r>
    </w:tbl>
    <w:p>
      <w:pPr>
        <w:spacing w:line="288" w:lineRule="auto"/>
        <w:jc w:val="right"/>
      </w:pPr>
    </w:p>
    <w:p>
      <w:pPr>
        <w:spacing w:line="288" w:lineRule="auto"/>
      </w:pPr>
    </w:p>
    <w:tbl>
      <w:tblPr>
        <w:tblStyle w:val="8"/>
        <w:tblpPr w:leftFromText="180" w:rightFromText="180" w:vertAnchor="page" w:horzAnchor="margin" w:tblpY="1842"/>
        <w:tblOverlap w:val="never"/>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8"/>
        <w:gridCol w:w="1169"/>
        <w:gridCol w:w="993"/>
        <w:gridCol w:w="993"/>
        <w:gridCol w:w="707"/>
        <w:gridCol w:w="851"/>
        <w:gridCol w:w="850"/>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8505" w:type="dxa"/>
            <w:gridSpan w:val="8"/>
            <w:tcBorders>
              <w:top w:val="nil"/>
              <w:left w:val="nil"/>
              <w:bottom w:val="single" w:color="auto" w:sz="4" w:space="0"/>
              <w:right w:val="nil"/>
            </w:tcBorders>
            <w:shd w:val="clear" w:color="auto" w:fill="auto"/>
            <w:vAlign w:val="center"/>
          </w:tcPr>
          <w:p>
            <w:pPr>
              <w:widowControl/>
              <w:adjustRightInd w:val="0"/>
              <w:spacing w:before="100" w:beforeAutospacing="1" w:after="100" w:afterAutospacing="1" w:line="288" w:lineRule="auto"/>
              <w:textAlignment w:val="baseline"/>
              <w:rPr>
                <w:b/>
                <w:kern w:val="0"/>
                <w:sz w:val="24"/>
              </w:rPr>
            </w:pPr>
          </w:p>
          <w:p>
            <w:pPr>
              <w:widowControl/>
              <w:adjustRightInd w:val="0"/>
              <w:spacing w:before="100" w:beforeAutospacing="1" w:after="100" w:afterAutospacing="1" w:line="288" w:lineRule="auto"/>
              <w:textAlignment w:val="baseline"/>
              <w:rPr>
                <w:b/>
                <w:kern w:val="0"/>
                <w:szCs w:val="21"/>
              </w:rPr>
            </w:pPr>
            <w:r>
              <w:rPr>
                <w:rFonts w:hint="eastAsia"/>
                <w:b/>
                <w:kern w:val="0"/>
                <w:sz w:val="24"/>
              </w:rPr>
              <w:t>表3</w:t>
            </w:r>
            <w:r>
              <w:rPr>
                <w:b/>
                <w:kern w:val="0"/>
                <w:sz w:val="24"/>
              </w:rPr>
              <w:t>.</w:t>
            </w:r>
            <w:r>
              <w:rPr>
                <w:rFonts w:hint="eastAsia"/>
                <w:b/>
                <w:kern w:val="0"/>
                <w:sz w:val="24"/>
              </w:rPr>
              <w:t>受试者补偿费明细表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180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费用名目</w:t>
            </w:r>
          </w:p>
        </w:tc>
        <w:tc>
          <w:tcPr>
            <w:tcW w:w="11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筛选期</w:t>
            </w:r>
          </w:p>
        </w:tc>
        <w:tc>
          <w:tcPr>
            <w:tcW w:w="99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V1</w:t>
            </w:r>
          </w:p>
        </w:tc>
        <w:tc>
          <w:tcPr>
            <w:tcW w:w="99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V2</w:t>
            </w:r>
          </w:p>
        </w:tc>
        <w:tc>
          <w:tcPr>
            <w:tcW w:w="70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V3</w:t>
            </w:r>
          </w:p>
        </w:tc>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Vn</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
                <w:kern w:val="0"/>
                <w:szCs w:val="21"/>
              </w:rPr>
            </w:pPr>
            <w:r>
              <w:rPr>
                <w:rFonts w:hint="eastAsia"/>
                <w:b/>
                <w:kern w:val="0"/>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180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val="0"/>
              <w:spacing w:before="100" w:beforeAutospacing="1" w:after="100" w:afterAutospacing="1" w:line="288" w:lineRule="auto"/>
              <w:textAlignment w:val="baseline"/>
              <w:rPr>
                <w:bCs/>
                <w:kern w:val="0"/>
                <w:szCs w:val="21"/>
              </w:rPr>
            </w:pPr>
            <w:r>
              <w:rPr>
                <w:rFonts w:hint="eastAsia"/>
                <w:bCs/>
                <w:kern w:val="0"/>
                <w:szCs w:val="21"/>
              </w:rPr>
              <w:t>受试者补偿费</w:t>
            </w:r>
          </w:p>
        </w:tc>
        <w:tc>
          <w:tcPr>
            <w:tcW w:w="116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pacing w:line="288" w:lineRule="auto"/>
              <w:textAlignment w:val="baseline"/>
              <w:rPr>
                <w:kern w:val="0"/>
                <w:sz w:val="18"/>
                <w:szCs w:val="18"/>
              </w:rPr>
            </w:pPr>
          </w:p>
        </w:tc>
        <w:tc>
          <w:tcPr>
            <w:tcW w:w="993"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pacing w:line="288" w:lineRule="auto"/>
              <w:textAlignment w:val="baseline"/>
              <w:rPr>
                <w:kern w:val="0"/>
                <w:sz w:val="18"/>
                <w:szCs w:val="18"/>
              </w:rPr>
            </w:pPr>
          </w:p>
        </w:tc>
        <w:tc>
          <w:tcPr>
            <w:tcW w:w="993"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707"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851"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850"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c>
          <w:tcPr>
            <w:tcW w:w="1134" w:type="dxa"/>
            <w:tcBorders>
              <w:top w:val="single" w:color="auto" w:sz="4" w:space="0"/>
              <w:left w:val="single" w:color="auto" w:sz="4" w:space="0"/>
              <w:bottom w:val="single" w:color="auto" w:sz="4" w:space="0"/>
              <w:right w:val="single" w:color="auto" w:sz="4" w:space="0"/>
            </w:tcBorders>
            <w:shd w:val="clear" w:color="auto" w:fill="auto"/>
          </w:tcPr>
          <w:p>
            <w:pPr>
              <w:adjustRightInd w:val="0"/>
              <w:spacing w:line="288" w:lineRule="auto"/>
              <w:textAlignment w:val="baseline"/>
              <w:rPr>
                <w:kern w:val="0"/>
                <w:sz w:val="18"/>
                <w:szCs w:val="18"/>
              </w:rPr>
            </w:pPr>
          </w:p>
        </w:tc>
      </w:tr>
    </w:tbl>
    <w:p>
      <w:pPr>
        <w:autoSpaceDE w:val="0"/>
        <w:autoSpaceDN w:val="0"/>
        <w:adjustRightInd w:val="0"/>
        <w:spacing w:line="288" w:lineRule="auto"/>
        <w:ind w:left="3" w:leftChars="-400" w:hanging="843" w:hangingChars="350"/>
        <w:rPr>
          <w:rFonts w:ascii="宋体" w:hAnsi="宋体"/>
          <w:b/>
          <w:kern w:val="0"/>
          <w:sz w:val="24"/>
          <w:szCs w:val="18"/>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autoSpaceDE w:val="0"/>
        <w:autoSpaceDN w:val="0"/>
        <w:adjustRightInd w:val="0"/>
        <w:spacing w:line="288" w:lineRule="auto"/>
        <w:rPr>
          <w:kern w:val="0"/>
          <w:sz w:val="24"/>
        </w:rPr>
      </w:pPr>
    </w:p>
    <w:p>
      <w:pPr>
        <w:spacing w:before="156" w:beforeLines="50"/>
        <w:rPr>
          <w:b/>
          <w:kern w:val="0"/>
          <w:sz w:val="28"/>
          <w:szCs w:val="20"/>
        </w:rPr>
      </w:pPr>
    </w:p>
    <w:p>
      <w:pPr>
        <w:spacing w:before="156" w:beforeLines="50"/>
        <w:rPr>
          <w:b/>
          <w:kern w:val="0"/>
          <w:sz w:val="28"/>
          <w:szCs w:val="20"/>
        </w:rPr>
      </w:pPr>
    </w:p>
    <w:p>
      <w:r>
        <w:br w:type="page"/>
      </w:r>
    </w:p>
    <w:tbl>
      <w:tblPr>
        <w:tblStyle w:val="8"/>
        <w:tblpPr w:leftFromText="180" w:rightFromText="180" w:horzAnchor="margin" w:tblpXSpec="center" w:tblpY="352"/>
        <w:tblW w:w="8897" w:type="dxa"/>
        <w:tblInd w:w="0" w:type="dxa"/>
        <w:tblLayout w:type="fixed"/>
        <w:tblCellMar>
          <w:top w:w="0" w:type="dxa"/>
          <w:left w:w="108" w:type="dxa"/>
          <w:bottom w:w="0" w:type="dxa"/>
          <w:right w:w="108" w:type="dxa"/>
        </w:tblCellMar>
      </w:tblPr>
      <w:tblGrid>
        <w:gridCol w:w="1782"/>
        <w:gridCol w:w="2391"/>
        <w:gridCol w:w="330"/>
        <w:gridCol w:w="1417"/>
        <w:gridCol w:w="1276"/>
        <w:gridCol w:w="1701"/>
      </w:tblGrid>
      <w:tr>
        <w:tblPrEx>
          <w:tblCellMar>
            <w:top w:w="0" w:type="dxa"/>
            <w:left w:w="108" w:type="dxa"/>
            <w:bottom w:w="0" w:type="dxa"/>
            <w:right w:w="108" w:type="dxa"/>
          </w:tblCellMar>
        </w:tblPrEx>
        <w:trPr>
          <w:trHeight w:val="266" w:hRule="atLeast"/>
        </w:trPr>
        <w:tc>
          <w:tcPr>
            <w:tcW w:w="8897" w:type="dxa"/>
            <w:gridSpan w:val="6"/>
            <w:tcBorders>
              <w:top w:val="single" w:color="auto" w:sz="4" w:space="0"/>
              <w:left w:val="nil"/>
              <w:bottom w:val="single" w:color="auto" w:sz="4" w:space="0"/>
              <w:right w:val="nil"/>
            </w:tcBorders>
            <w:shd w:val="clear" w:color="auto" w:fill="auto"/>
            <w:noWrap/>
            <w:vAlign w:val="center"/>
          </w:tcPr>
          <w:p>
            <w:pPr>
              <w:widowControl/>
              <w:spacing w:line="288" w:lineRule="auto"/>
              <w:rPr>
                <w:b/>
                <w:bCs/>
                <w:color w:val="000000"/>
                <w:kern w:val="0"/>
                <w:sz w:val="22"/>
                <w:szCs w:val="22"/>
              </w:rPr>
            </w:pPr>
            <w:r>
              <w:rPr>
                <w:rFonts w:hint="eastAsia"/>
                <w:b/>
                <w:bCs/>
                <w:color w:val="000000"/>
                <w:kern w:val="0"/>
                <w:sz w:val="24"/>
              </w:rPr>
              <w:t>表4</w:t>
            </w:r>
            <w:r>
              <w:rPr>
                <w:b/>
                <w:bCs/>
                <w:color w:val="000000"/>
                <w:kern w:val="0"/>
                <w:sz w:val="24"/>
              </w:rPr>
              <w:t>.</w:t>
            </w:r>
            <w:r>
              <w:rPr>
                <w:rFonts w:hint="eastAsia"/>
                <w:b/>
                <w:bCs/>
                <w:color w:val="000000"/>
                <w:kern w:val="0"/>
                <w:sz w:val="24"/>
              </w:rPr>
              <w:t>费用汇总表</w:t>
            </w:r>
          </w:p>
        </w:tc>
      </w:tr>
      <w:tr>
        <w:tblPrEx>
          <w:tblCellMar>
            <w:top w:w="0" w:type="dxa"/>
            <w:left w:w="108" w:type="dxa"/>
            <w:bottom w:w="0" w:type="dxa"/>
            <w:right w:w="108" w:type="dxa"/>
          </w:tblCellMar>
        </w:tblPrEx>
        <w:trPr>
          <w:trHeight w:val="344" w:hRule="atLeast"/>
        </w:trPr>
        <w:tc>
          <w:tcPr>
            <w:tcW w:w="4173"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b/>
                <w:bCs/>
                <w:color w:val="000000"/>
                <w:kern w:val="0"/>
                <w:szCs w:val="21"/>
              </w:rPr>
            </w:pPr>
            <w:r>
              <w:rPr>
                <w:rFonts w:hint="eastAsia"/>
                <w:b/>
                <w:bCs/>
                <w:color w:val="000000"/>
                <w:kern w:val="0"/>
                <w:szCs w:val="21"/>
              </w:rPr>
              <w:t>项目</w:t>
            </w:r>
          </w:p>
        </w:tc>
        <w:tc>
          <w:tcPr>
            <w:tcW w:w="1747" w:type="dxa"/>
            <w:gridSpan w:val="2"/>
            <w:tcBorders>
              <w:top w:val="nil"/>
              <w:left w:val="nil"/>
              <w:bottom w:val="single" w:color="auto" w:sz="4" w:space="0"/>
              <w:right w:val="single" w:color="auto" w:sz="4" w:space="0"/>
            </w:tcBorders>
            <w:shd w:val="clear" w:color="auto" w:fill="auto"/>
            <w:vAlign w:val="center"/>
          </w:tcPr>
          <w:p>
            <w:pPr>
              <w:widowControl/>
              <w:rPr>
                <w:b/>
                <w:bCs/>
                <w:color w:val="000000"/>
                <w:kern w:val="0"/>
                <w:szCs w:val="21"/>
              </w:rPr>
            </w:pPr>
            <w:r>
              <w:rPr>
                <w:rFonts w:hint="eastAsia"/>
                <w:b/>
                <w:bCs/>
                <w:color w:val="000000"/>
                <w:kern w:val="0"/>
                <w:szCs w:val="21"/>
              </w:rPr>
              <w:t>每例受试者费用标准（人民币）</w:t>
            </w:r>
          </w:p>
        </w:tc>
        <w:tc>
          <w:tcPr>
            <w:tcW w:w="1276"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预计受试者例数</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小计（人民币）</w:t>
            </w:r>
          </w:p>
        </w:tc>
      </w:tr>
      <w:tr>
        <w:tblPrEx>
          <w:tblCellMar>
            <w:top w:w="0" w:type="dxa"/>
            <w:left w:w="108" w:type="dxa"/>
            <w:bottom w:w="0" w:type="dxa"/>
            <w:right w:w="108" w:type="dxa"/>
          </w:tblCellMar>
        </w:tblPrEx>
        <w:trPr>
          <w:trHeight w:val="313" w:hRule="atLeast"/>
        </w:trPr>
        <w:tc>
          <w:tcPr>
            <w:tcW w:w="1782" w:type="dxa"/>
            <w:vMerge w:val="restart"/>
            <w:tcBorders>
              <w:top w:val="nil"/>
              <w:left w:val="single" w:color="auto" w:sz="4" w:space="0"/>
              <w:bottom w:val="nil"/>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1.研究者观察费</w:t>
            </w:r>
            <w:r>
              <w:rPr>
                <w:b/>
                <w:bCs/>
                <w:color w:val="000000"/>
                <w:kern w:val="0"/>
                <w:szCs w:val="21"/>
              </w:rPr>
              <w:t>费</w:t>
            </w:r>
          </w:p>
        </w:tc>
        <w:tc>
          <w:tcPr>
            <w:tcW w:w="2391" w:type="dxa"/>
            <w:tcBorders>
              <w:top w:val="nil"/>
              <w:left w:val="nil"/>
              <w:bottom w:val="single" w:color="auto" w:sz="4" w:space="0"/>
              <w:right w:val="single" w:color="auto" w:sz="4" w:space="0"/>
            </w:tcBorders>
            <w:shd w:val="clear" w:color="auto" w:fill="auto"/>
            <w:vAlign w:val="center"/>
          </w:tcPr>
          <w:p>
            <w:pPr>
              <w:widowControl/>
              <w:rPr>
                <w:color w:val="000000"/>
                <w:kern w:val="0"/>
                <w:szCs w:val="21"/>
              </w:rPr>
            </w:pPr>
            <w:r>
              <w:rPr>
                <w:rFonts w:hint="eastAsia"/>
                <w:color w:val="000000"/>
                <w:kern w:val="0"/>
                <w:szCs w:val="21"/>
              </w:rPr>
              <w:t>入组病例研究者观察费</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top w:val="single" w:color="auto" w:sz="4" w:space="0"/>
              <w:left w:val="single" w:color="auto" w:sz="4" w:space="0"/>
              <w:bottom w:val="nil"/>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筛选失败病例研究者观察费</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top w:val="single" w:color="auto" w:sz="4" w:space="0"/>
              <w:left w:val="single" w:color="auto" w:sz="4" w:space="0"/>
              <w:bottom w:val="nil"/>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计划外访视研究者观察费（</w:t>
            </w:r>
            <w:r>
              <w:rPr>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2</w:t>
            </w:r>
            <w:r>
              <w:rPr>
                <w:b/>
                <w:bCs/>
                <w:color w:val="000000"/>
                <w:kern w:val="0"/>
                <w:szCs w:val="21"/>
              </w:rPr>
              <w:t>.</w:t>
            </w:r>
            <w:r>
              <w:rPr>
                <w:rFonts w:hint="eastAsia"/>
                <w:b/>
                <w:bCs/>
                <w:color w:val="000000"/>
                <w:kern w:val="0"/>
                <w:szCs w:val="21"/>
              </w:rPr>
              <w:t>受试者</w:t>
            </w:r>
            <w:r>
              <w:rPr>
                <w:b/>
                <w:bCs/>
                <w:color w:val="000000"/>
                <w:kern w:val="0"/>
                <w:szCs w:val="21"/>
              </w:rPr>
              <w:t>检查费</w:t>
            </w: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完成研究受试者的检查费</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top w:val="nil"/>
              <w:left w:val="single" w:color="auto" w:sz="4" w:space="0"/>
              <w:bottom w:val="single" w:color="000000" w:sz="4" w:space="0"/>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筛选失败受试者检查费</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top w:val="nil"/>
              <w:left w:val="single" w:color="auto" w:sz="4" w:space="0"/>
              <w:bottom w:val="single" w:color="000000" w:sz="4" w:space="0"/>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受试者计划外检查费（</w:t>
            </w:r>
            <w:r>
              <w:rPr>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restart"/>
            <w:tcBorders>
              <w:top w:val="nil"/>
              <w:left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3.</w:t>
            </w:r>
            <w:r>
              <w:rPr>
                <w:b/>
                <w:bCs/>
                <w:color w:val="000000"/>
                <w:kern w:val="0"/>
                <w:szCs w:val="21"/>
              </w:rPr>
              <w:t>受试者补偿费</w:t>
            </w: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交通补贴（</w:t>
            </w:r>
            <w:r>
              <w:rPr>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left w:val="single" w:color="auto" w:sz="4" w:space="0"/>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营养补贴（</w:t>
            </w:r>
            <w:r>
              <w:rPr>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left w:val="single" w:color="auto" w:sz="4" w:space="0"/>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color w:val="000000"/>
                <w:kern w:val="0"/>
                <w:szCs w:val="21"/>
              </w:rPr>
              <w:t>采血补贴</w:t>
            </w:r>
            <w:r>
              <w:rPr>
                <w:rFonts w:hint="eastAsia"/>
                <w:color w:val="000000"/>
                <w:kern w:val="0"/>
                <w:szCs w:val="21"/>
              </w:rPr>
              <w:t>（</w:t>
            </w:r>
            <w:r>
              <w:rPr>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1782" w:type="dxa"/>
            <w:vMerge w:val="continue"/>
            <w:tcBorders>
              <w:left w:val="single" w:color="auto" w:sz="4" w:space="0"/>
              <w:bottom w:val="single" w:color="000000" w:sz="4" w:space="0"/>
              <w:right w:val="single" w:color="auto" w:sz="4" w:space="0"/>
            </w:tcBorders>
            <w:vAlign w:val="center"/>
          </w:tcPr>
          <w:p>
            <w:pPr>
              <w:widowControl/>
              <w:rPr>
                <w:b/>
                <w:bCs/>
                <w:color w:val="000000"/>
                <w:kern w:val="0"/>
                <w:szCs w:val="21"/>
              </w:rPr>
            </w:pP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受试者补贴个税（</w:t>
            </w:r>
            <w:r>
              <w:rPr>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r>
      <w:tr>
        <w:tblPrEx>
          <w:tblCellMar>
            <w:top w:w="0" w:type="dxa"/>
            <w:left w:w="108" w:type="dxa"/>
            <w:bottom w:w="0" w:type="dxa"/>
            <w:right w:w="108" w:type="dxa"/>
          </w:tblCellMar>
        </w:tblPrEx>
        <w:trPr>
          <w:trHeight w:val="313" w:hRule="atLeast"/>
        </w:trPr>
        <w:tc>
          <w:tcPr>
            <w:tcW w:w="1782" w:type="dxa"/>
            <w:tcBorders>
              <w:top w:val="nil"/>
              <w:left w:val="single" w:color="auto" w:sz="4" w:space="0"/>
              <w:right w:val="single" w:color="auto" w:sz="4" w:space="0"/>
            </w:tcBorders>
            <w:vAlign w:val="center"/>
          </w:tcPr>
          <w:p>
            <w:pPr>
              <w:widowControl/>
              <w:rPr>
                <w:b/>
                <w:bCs/>
                <w:color w:val="000000"/>
                <w:kern w:val="0"/>
                <w:szCs w:val="21"/>
              </w:rPr>
            </w:pPr>
            <w:r>
              <w:rPr>
                <w:rFonts w:hint="eastAsia"/>
                <w:b/>
                <w:bCs/>
                <w:color w:val="000000"/>
                <w:kern w:val="0"/>
                <w:szCs w:val="21"/>
              </w:rPr>
              <w:t>4.其他研究者费</w:t>
            </w:r>
          </w:p>
        </w:tc>
        <w:tc>
          <w:tcPr>
            <w:tcW w:w="2391" w:type="dxa"/>
            <w:tcBorders>
              <w:top w:val="nil"/>
              <w:left w:val="nil"/>
              <w:bottom w:val="single" w:color="auto" w:sz="4" w:space="0"/>
              <w:right w:val="single" w:color="auto" w:sz="4" w:space="0"/>
            </w:tcBorders>
            <w:shd w:val="clear" w:color="auto" w:fill="auto"/>
            <w:vAlign w:val="center"/>
          </w:tcPr>
          <w:p>
            <w:pPr>
              <w:widowControl/>
              <w:snapToGrid w:val="0"/>
              <w:rPr>
                <w:color w:val="000000"/>
                <w:kern w:val="0"/>
                <w:szCs w:val="21"/>
              </w:rPr>
            </w:pPr>
            <w:r>
              <w:rPr>
                <w:rFonts w:hint="eastAsia"/>
                <w:color w:val="000000"/>
                <w:kern w:val="0"/>
                <w:szCs w:val="21"/>
              </w:rPr>
              <w:t>辅助检查检验研究者费（如适用）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合计</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313" w:hRule="atLeast"/>
        </w:trPr>
        <w:tc>
          <w:tcPr>
            <w:tcW w:w="4173" w:type="dxa"/>
            <w:gridSpan w:val="2"/>
            <w:tcBorders>
              <w:top w:val="nil"/>
              <w:left w:val="single" w:color="auto" w:sz="4" w:space="0"/>
              <w:bottom w:val="single" w:color="auto" w:sz="4" w:space="0"/>
              <w:right w:val="single" w:color="auto" w:sz="4" w:space="0"/>
            </w:tcBorders>
            <w:shd w:val="clear" w:color="auto" w:fill="auto"/>
            <w:vAlign w:val="center"/>
          </w:tcPr>
          <w:p>
            <w:pPr>
              <w:widowControl/>
              <w:rPr>
                <w:b/>
                <w:bCs/>
                <w:color w:val="000000"/>
                <w:kern w:val="0"/>
                <w:szCs w:val="21"/>
              </w:rPr>
            </w:pPr>
            <w:r>
              <w:rPr>
                <w:rFonts w:hint="eastAsia"/>
                <w:b/>
                <w:bCs/>
                <w:color w:val="000000"/>
                <w:kern w:val="0"/>
                <w:szCs w:val="21"/>
              </w:rPr>
              <w:t>5</w:t>
            </w:r>
            <w:r>
              <w:rPr>
                <w:b/>
                <w:bCs/>
                <w:color w:val="000000"/>
                <w:kern w:val="0"/>
                <w:szCs w:val="21"/>
              </w:rPr>
              <w:t>.档案</w:t>
            </w:r>
            <w:r>
              <w:rPr>
                <w:rFonts w:hint="eastAsia"/>
                <w:b/>
                <w:bCs/>
                <w:color w:val="000000"/>
                <w:kern w:val="0"/>
                <w:szCs w:val="21"/>
              </w:rPr>
              <w:t>保管</w:t>
            </w:r>
            <w:r>
              <w:rPr>
                <w:b/>
                <w:bCs/>
                <w:color w:val="000000"/>
                <w:kern w:val="0"/>
                <w:szCs w:val="21"/>
              </w:rPr>
              <w:t>费</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r>
      <w:tr>
        <w:tblPrEx>
          <w:tblCellMar>
            <w:top w:w="0" w:type="dxa"/>
            <w:left w:w="108" w:type="dxa"/>
            <w:bottom w:w="0" w:type="dxa"/>
            <w:right w:w="108" w:type="dxa"/>
          </w:tblCellMar>
        </w:tblPrEx>
        <w:trPr>
          <w:trHeight w:val="313" w:hRule="atLeast"/>
        </w:trPr>
        <w:tc>
          <w:tcPr>
            <w:tcW w:w="4173" w:type="dxa"/>
            <w:gridSpan w:val="2"/>
            <w:tcBorders>
              <w:top w:val="nil"/>
              <w:left w:val="single" w:color="auto" w:sz="4" w:space="0"/>
              <w:bottom w:val="single" w:color="auto" w:sz="4" w:space="0"/>
              <w:right w:val="single" w:color="auto" w:sz="4" w:space="0"/>
            </w:tcBorders>
            <w:shd w:val="clear" w:color="auto" w:fill="auto"/>
            <w:vAlign w:val="center"/>
          </w:tcPr>
          <w:p>
            <w:pPr>
              <w:widowControl/>
              <w:rPr>
                <w:b/>
                <w:bCs/>
                <w:color w:val="000000"/>
                <w:kern w:val="0"/>
                <w:szCs w:val="21"/>
              </w:rPr>
            </w:pPr>
            <w:r>
              <w:rPr>
                <w:rFonts w:hint="eastAsia"/>
                <w:color w:val="000000"/>
                <w:kern w:val="0"/>
                <w:szCs w:val="21"/>
              </w:rPr>
              <w:t>6.</w:t>
            </w:r>
            <w:r>
              <w:rPr>
                <w:rFonts w:hint="eastAsia"/>
                <w:b/>
                <w:bCs/>
                <w:color w:val="000000"/>
                <w:kern w:val="0"/>
                <w:szCs w:val="21"/>
              </w:rPr>
              <w:t>试验材料费（</w:t>
            </w:r>
            <w:r>
              <w:rPr>
                <w:b/>
                <w:bCs/>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r>
      <w:tr>
        <w:tblPrEx>
          <w:tblCellMar>
            <w:top w:w="0" w:type="dxa"/>
            <w:left w:w="108" w:type="dxa"/>
            <w:bottom w:w="0" w:type="dxa"/>
            <w:right w:w="108" w:type="dxa"/>
          </w:tblCellMar>
        </w:tblPrEx>
        <w:trPr>
          <w:trHeight w:val="313" w:hRule="atLeast"/>
        </w:trPr>
        <w:tc>
          <w:tcPr>
            <w:tcW w:w="4173" w:type="dxa"/>
            <w:gridSpan w:val="2"/>
            <w:tcBorders>
              <w:top w:val="nil"/>
              <w:left w:val="single" w:color="auto" w:sz="4" w:space="0"/>
              <w:bottom w:val="single" w:color="auto" w:sz="4" w:space="0"/>
              <w:right w:val="single" w:color="auto" w:sz="4" w:space="0"/>
            </w:tcBorders>
            <w:shd w:val="clear" w:color="auto" w:fill="auto"/>
            <w:vAlign w:val="center"/>
          </w:tcPr>
          <w:p>
            <w:pPr>
              <w:widowControl/>
              <w:rPr>
                <w:b/>
                <w:bCs/>
                <w:color w:val="000000"/>
                <w:kern w:val="0"/>
                <w:szCs w:val="21"/>
              </w:rPr>
            </w:pPr>
            <w:r>
              <w:rPr>
                <w:rFonts w:hint="eastAsia"/>
                <w:b/>
                <w:bCs/>
                <w:color w:val="000000"/>
                <w:kern w:val="0"/>
                <w:szCs w:val="21"/>
              </w:rPr>
              <w:t>7.</w:t>
            </w:r>
            <w:r>
              <w:rPr>
                <w:b/>
                <w:bCs/>
                <w:color w:val="000000"/>
                <w:kern w:val="0"/>
                <w:szCs w:val="21"/>
              </w:rPr>
              <w:t>牵头费</w:t>
            </w:r>
            <w:r>
              <w:rPr>
                <w:rFonts w:hint="eastAsia"/>
                <w:b/>
                <w:bCs/>
                <w:color w:val="000000"/>
                <w:kern w:val="0"/>
                <w:szCs w:val="21"/>
              </w:rPr>
              <w:t>（</w:t>
            </w:r>
            <w:r>
              <w:rPr>
                <w:b/>
                <w:bCs/>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r>
      <w:tr>
        <w:tblPrEx>
          <w:tblCellMar>
            <w:top w:w="0" w:type="dxa"/>
            <w:left w:w="108" w:type="dxa"/>
            <w:bottom w:w="0" w:type="dxa"/>
            <w:right w:w="108" w:type="dxa"/>
          </w:tblCellMar>
        </w:tblPrEx>
        <w:trPr>
          <w:trHeight w:val="313" w:hRule="atLeast"/>
        </w:trPr>
        <w:tc>
          <w:tcPr>
            <w:tcW w:w="4173" w:type="dxa"/>
            <w:gridSpan w:val="2"/>
            <w:tcBorders>
              <w:top w:val="nil"/>
              <w:left w:val="single" w:color="auto" w:sz="4" w:space="0"/>
              <w:bottom w:val="single" w:color="auto" w:sz="4" w:space="0"/>
              <w:right w:val="single" w:color="auto" w:sz="4" w:space="0"/>
            </w:tcBorders>
            <w:shd w:val="clear" w:color="auto" w:fill="auto"/>
            <w:vAlign w:val="center"/>
          </w:tcPr>
          <w:p>
            <w:pPr>
              <w:widowControl/>
              <w:rPr>
                <w:b/>
                <w:bCs/>
                <w:color w:val="000000"/>
                <w:kern w:val="0"/>
                <w:szCs w:val="21"/>
              </w:rPr>
            </w:pPr>
            <w:r>
              <w:rPr>
                <w:rFonts w:hint="eastAsia"/>
                <w:b/>
                <w:bCs/>
                <w:color w:val="000000"/>
                <w:kern w:val="0"/>
                <w:szCs w:val="21"/>
              </w:rPr>
              <w:t>8.其他（如，等）（</w:t>
            </w:r>
            <w:r>
              <w:rPr>
                <w:b/>
                <w:bCs/>
                <w:color w:val="000000"/>
                <w:kern w:val="0"/>
                <w:szCs w:val="21"/>
              </w:rPr>
              <w:t>如适用）</w:t>
            </w:r>
          </w:p>
        </w:tc>
        <w:tc>
          <w:tcPr>
            <w:tcW w:w="1747" w:type="dxa"/>
            <w:gridSpan w:val="2"/>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276"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p>
        </w:tc>
        <w:tc>
          <w:tcPr>
            <w:tcW w:w="1701" w:type="dxa"/>
            <w:tcBorders>
              <w:top w:val="nil"/>
              <w:left w:val="nil"/>
              <w:bottom w:val="single" w:color="auto" w:sz="4" w:space="0"/>
              <w:right w:val="single" w:color="auto" w:sz="4" w:space="0"/>
            </w:tcBorders>
            <w:shd w:val="clear" w:color="auto" w:fill="auto"/>
            <w:noWrap/>
            <w:vAlign w:val="center"/>
          </w:tcPr>
          <w:p>
            <w:pPr>
              <w:widowControl/>
              <w:rPr>
                <w:color w:val="000000"/>
                <w:kern w:val="0"/>
                <w:szCs w:val="21"/>
              </w:rPr>
            </w:pPr>
            <w:r>
              <w:rPr>
                <w:rFonts w:hint="eastAsia"/>
                <w:color w:val="000000"/>
                <w:kern w:val="0"/>
                <w:szCs w:val="21"/>
              </w:rPr>
              <w:t>　</w:t>
            </w: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净值总额</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313" w:hRule="atLeast"/>
        </w:trPr>
        <w:tc>
          <w:tcPr>
            <w:tcW w:w="1782" w:type="dxa"/>
            <w:tcBorders>
              <w:top w:val="nil"/>
              <w:left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9. 机构</w:t>
            </w:r>
            <w:r>
              <w:rPr>
                <w:b/>
                <w:bCs/>
                <w:color w:val="000000"/>
                <w:kern w:val="0"/>
                <w:szCs w:val="21"/>
              </w:rPr>
              <w:t>管理费</w:t>
            </w:r>
          </w:p>
        </w:tc>
        <w:tc>
          <w:tcPr>
            <w:tcW w:w="5414" w:type="dxa"/>
            <w:gridSpan w:val="4"/>
            <w:tcBorders>
              <w:top w:val="single" w:color="auto" w:sz="4" w:space="0"/>
              <w:left w:val="nil"/>
              <w:bottom w:val="single" w:color="auto" w:sz="4" w:space="0"/>
              <w:right w:val="single" w:color="000000" w:sz="4" w:space="0"/>
            </w:tcBorders>
            <w:shd w:val="clear" w:color="auto" w:fill="auto"/>
            <w:noWrap/>
            <w:vAlign w:val="center"/>
          </w:tcPr>
          <w:p>
            <w:pPr>
              <w:widowControl/>
              <w:rPr>
                <w:color w:val="000000"/>
                <w:kern w:val="0"/>
                <w:szCs w:val="21"/>
              </w:rPr>
            </w:pPr>
            <w:r>
              <w:rPr>
                <w:rFonts w:hint="eastAsia"/>
                <w:color w:val="000000"/>
                <w:kern w:val="0"/>
                <w:szCs w:val="21"/>
              </w:rPr>
              <w:t>净值总额</w:t>
            </w:r>
            <w:r>
              <w:rPr>
                <w:color w:val="000000"/>
                <w:kern w:val="0"/>
                <w:szCs w:val="21"/>
              </w:rPr>
              <w:t>*</w:t>
            </w:r>
            <w:r>
              <w:rPr>
                <w:rFonts w:hint="eastAsia"/>
                <w:color w:val="000000"/>
                <w:kern w:val="0"/>
                <w:szCs w:val="21"/>
              </w:rPr>
              <w:t>20</w:t>
            </w:r>
            <w:r>
              <w:rPr>
                <w:color w:val="000000"/>
                <w:kern w:val="0"/>
                <w:szCs w:val="21"/>
              </w:rPr>
              <w:t>%</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合计</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b/>
                <w:bCs/>
                <w:color w:val="000000"/>
                <w:kern w:val="0"/>
                <w:szCs w:val="21"/>
              </w:rPr>
            </w:pP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税费</w:t>
            </w:r>
          </w:p>
        </w:tc>
        <w:tc>
          <w:tcPr>
            <w:tcW w:w="1701" w:type="dxa"/>
            <w:tcBorders>
              <w:top w:val="nil"/>
              <w:left w:val="nil"/>
              <w:bottom w:val="single" w:color="auto" w:sz="4" w:space="0"/>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313" w:hRule="atLeast"/>
        </w:trPr>
        <w:tc>
          <w:tcPr>
            <w:tcW w:w="7196" w:type="dxa"/>
            <w:gridSpan w:val="5"/>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right"/>
              <w:rPr>
                <w:b/>
                <w:bCs/>
                <w:color w:val="000000"/>
                <w:kern w:val="0"/>
                <w:szCs w:val="21"/>
              </w:rPr>
            </w:pPr>
            <w:r>
              <w:rPr>
                <w:rFonts w:hint="eastAsia"/>
                <w:b/>
                <w:bCs/>
                <w:color w:val="000000"/>
                <w:kern w:val="0"/>
                <w:szCs w:val="21"/>
              </w:rPr>
              <w:t>预计合同总额</w:t>
            </w:r>
          </w:p>
        </w:tc>
        <w:tc>
          <w:tcPr>
            <w:tcW w:w="1701" w:type="dxa"/>
            <w:tcBorders>
              <w:top w:val="nil"/>
              <w:left w:val="nil"/>
              <w:bottom w:val="nil"/>
              <w:right w:val="single" w:color="auto" w:sz="4" w:space="0"/>
            </w:tcBorders>
            <w:shd w:val="clear" w:color="auto" w:fill="auto"/>
            <w:noWrap/>
            <w:vAlign w:val="center"/>
          </w:tcPr>
          <w:p>
            <w:pPr>
              <w:widowControl/>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287" w:hRule="atLeast"/>
        </w:trPr>
        <w:tc>
          <w:tcPr>
            <w:tcW w:w="1782" w:type="dxa"/>
            <w:tcBorders>
              <w:top w:val="nil"/>
              <w:left w:val="single" w:color="auto" w:sz="4" w:space="0"/>
              <w:bottom w:val="nil"/>
              <w:right w:val="nil"/>
            </w:tcBorders>
            <w:shd w:val="clear" w:color="auto" w:fill="auto"/>
            <w:noWrap/>
            <w:vAlign w:val="center"/>
          </w:tcPr>
          <w:p>
            <w:pPr>
              <w:widowControl/>
              <w:snapToGrid w:val="0"/>
              <w:rPr>
                <w:b/>
                <w:bCs/>
                <w:color w:val="000000"/>
                <w:kern w:val="0"/>
                <w:sz w:val="18"/>
                <w:szCs w:val="18"/>
              </w:rPr>
            </w:pPr>
            <w:r>
              <w:rPr>
                <w:rFonts w:hint="eastAsia"/>
                <w:b/>
                <w:bCs/>
                <w:color w:val="000000"/>
                <w:kern w:val="0"/>
                <w:sz w:val="18"/>
                <w:szCs w:val="18"/>
              </w:rPr>
              <w:t>备注：</w:t>
            </w:r>
          </w:p>
        </w:tc>
        <w:tc>
          <w:tcPr>
            <w:tcW w:w="2721" w:type="dxa"/>
            <w:gridSpan w:val="2"/>
            <w:tcBorders>
              <w:top w:val="nil"/>
              <w:left w:val="nil"/>
              <w:bottom w:val="nil"/>
              <w:right w:val="nil"/>
            </w:tcBorders>
            <w:shd w:val="clear" w:color="auto" w:fill="auto"/>
            <w:noWrap/>
            <w:vAlign w:val="center"/>
          </w:tcPr>
          <w:p>
            <w:pPr>
              <w:widowControl/>
              <w:snapToGrid w:val="0"/>
              <w:rPr>
                <w:b/>
                <w:bCs/>
                <w:color w:val="000000"/>
                <w:kern w:val="0"/>
                <w:szCs w:val="21"/>
              </w:rPr>
            </w:pPr>
            <w:r>
              <w:rPr>
                <w:rFonts w:hint="eastAsia"/>
                <w:b/>
                <w:bCs/>
                <w:color w:val="000000"/>
                <w:kern w:val="0"/>
                <w:szCs w:val="21"/>
              </w:rPr>
              <w:t>　</w:t>
            </w:r>
          </w:p>
        </w:tc>
        <w:tc>
          <w:tcPr>
            <w:tcW w:w="1417" w:type="dxa"/>
            <w:tcBorders>
              <w:top w:val="nil"/>
              <w:left w:val="nil"/>
              <w:bottom w:val="nil"/>
              <w:right w:val="nil"/>
            </w:tcBorders>
            <w:shd w:val="clear" w:color="auto" w:fill="auto"/>
            <w:noWrap/>
            <w:vAlign w:val="center"/>
          </w:tcPr>
          <w:p>
            <w:pPr>
              <w:widowControl/>
              <w:snapToGrid w:val="0"/>
              <w:rPr>
                <w:b/>
                <w:bCs/>
                <w:color w:val="000000"/>
                <w:kern w:val="0"/>
                <w:szCs w:val="21"/>
              </w:rPr>
            </w:pPr>
            <w:r>
              <w:rPr>
                <w:rFonts w:hint="eastAsia"/>
                <w:b/>
                <w:bCs/>
                <w:color w:val="000000"/>
                <w:kern w:val="0"/>
                <w:szCs w:val="21"/>
              </w:rPr>
              <w:t>　</w:t>
            </w:r>
          </w:p>
        </w:tc>
        <w:tc>
          <w:tcPr>
            <w:tcW w:w="1276" w:type="dxa"/>
            <w:tcBorders>
              <w:top w:val="nil"/>
              <w:left w:val="nil"/>
              <w:bottom w:val="nil"/>
              <w:right w:val="nil"/>
            </w:tcBorders>
            <w:shd w:val="clear" w:color="auto" w:fill="auto"/>
            <w:noWrap/>
            <w:vAlign w:val="center"/>
          </w:tcPr>
          <w:p>
            <w:pPr>
              <w:widowControl/>
              <w:snapToGrid w:val="0"/>
              <w:rPr>
                <w:b/>
                <w:bCs/>
                <w:color w:val="000000"/>
                <w:kern w:val="0"/>
                <w:szCs w:val="21"/>
              </w:rPr>
            </w:pPr>
            <w:r>
              <w:rPr>
                <w:rFonts w:hint="eastAsia"/>
                <w:b/>
                <w:bCs/>
                <w:color w:val="000000"/>
                <w:kern w:val="0"/>
                <w:szCs w:val="21"/>
              </w:rPr>
              <w:t>　</w:t>
            </w:r>
          </w:p>
        </w:tc>
        <w:tc>
          <w:tcPr>
            <w:tcW w:w="1701" w:type="dxa"/>
            <w:tcBorders>
              <w:top w:val="single" w:color="auto" w:sz="4" w:space="0"/>
              <w:left w:val="nil"/>
              <w:bottom w:val="nil"/>
              <w:right w:val="single" w:color="auto" w:sz="4" w:space="0"/>
            </w:tcBorders>
            <w:shd w:val="clear" w:color="auto" w:fill="auto"/>
            <w:noWrap/>
            <w:vAlign w:val="center"/>
          </w:tcPr>
          <w:p>
            <w:pPr>
              <w:widowControl/>
              <w:snapToGrid w:val="0"/>
              <w:rPr>
                <w:b/>
                <w:bCs/>
                <w:color w:val="000000"/>
                <w:kern w:val="0"/>
                <w:szCs w:val="21"/>
              </w:rPr>
            </w:pPr>
            <w:r>
              <w:rPr>
                <w:rFonts w:hint="eastAsia"/>
                <w:b/>
                <w:bCs/>
                <w:color w:val="000000"/>
                <w:kern w:val="0"/>
                <w:szCs w:val="21"/>
              </w:rPr>
              <w:t>　</w:t>
            </w:r>
          </w:p>
        </w:tc>
      </w:tr>
      <w:tr>
        <w:tblPrEx>
          <w:tblCellMar>
            <w:top w:w="0" w:type="dxa"/>
            <w:left w:w="108" w:type="dxa"/>
            <w:bottom w:w="0" w:type="dxa"/>
            <w:right w:w="108" w:type="dxa"/>
          </w:tblCellMar>
        </w:tblPrEx>
        <w:trPr>
          <w:trHeight w:val="227" w:hRule="exact"/>
        </w:trPr>
        <w:tc>
          <w:tcPr>
            <w:tcW w:w="8897" w:type="dxa"/>
            <w:gridSpan w:val="6"/>
            <w:tcBorders>
              <w:top w:val="nil"/>
              <w:left w:val="single" w:color="auto" w:sz="4" w:space="0"/>
              <w:bottom w:val="nil"/>
              <w:right w:val="single" w:color="auto" w:sz="4" w:space="0"/>
            </w:tcBorders>
            <w:shd w:val="clear" w:color="auto" w:fill="auto"/>
            <w:noWrap/>
            <w:vAlign w:val="center"/>
          </w:tcPr>
          <w:p>
            <w:pPr>
              <w:widowControl/>
              <w:snapToGrid w:val="0"/>
              <w:rPr>
                <w:color w:val="000000"/>
                <w:kern w:val="0"/>
                <w:sz w:val="18"/>
                <w:szCs w:val="18"/>
              </w:rPr>
            </w:pPr>
            <w:r>
              <w:rPr>
                <w:color w:val="000000"/>
                <w:kern w:val="0"/>
                <w:sz w:val="18"/>
                <w:szCs w:val="18"/>
              </w:rPr>
              <w:t>1.</w:t>
            </w:r>
            <w:r>
              <w:rPr>
                <w:rFonts w:hint="eastAsia"/>
                <w:color w:val="000000"/>
                <w:kern w:val="0"/>
                <w:sz w:val="18"/>
                <w:szCs w:val="18"/>
              </w:rPr>
              <w:t xml:space="preserve"> </w:t>
            </w:r>
            <w:r>
              <w:rPr>
                <w:color w:val="000000"/>
                <w:kern w:val="0"/>
                <w:sz w:val="18"/>
                <w:szCs w:val="18"/>
              </w:rPr>
              <w:t>所有计算金额请精确到分。不适用的条目可删除</w:t>
            </w:r>
            <w:r>
              <w:rPr>
                <w:rFonts w:hint="eastAsia"/>
                <w:color w:val="000000"/>
                <w:kern w:val="0"/>
                <w:sz w:val="18"/>
                <w:szCs w:val="18"/>
              </w:rPr>
              <w:t>。</w:t>
            </w:r>
          </w:p>
          <w:p>
            <w:pPr>
              <w:widowControl/>
              <w:spacing w:line="288" w:lineRule="auto"/>
              <w:rPr>
                <w:b/>
                <w:bCs/>
                <w:color w:val="000000"/>
                <w:kern w:val="0"/>
                <w:sz w:val="22"/>
                <w:szCs w:val="22"/>
              </w:rPr>
            </w:pPr>
            <w:r>
              <w:rPr>
                <w:rFonts w:hint="eastAsia"/>
                <w:b/>
                <w:bCs/>
                <w:color w:val="000000"/>
                <w:kern w:val="0"/>
                <w:sz w:val="22"/>
                <w:szCs w:val="22"/>
              </w:rPr>
              <w:t>　</w:t>
            </w:r>
          </w:p>
        </w:tc>
      </w:tr>
      <w:tr>
        <w:tblPrEx>
          <w:tblCellMar>
            <w:top w:w="0" w:type="dxa"/>
            <w:left w:w="108" w:type="dxa"/>
            <w:bottom w:w="0" w:type="dxa"/>
            <w:right w:w="108" w:type="dxa"/>
          </w:tblCellMar>
        </w:tblPrEx>
        <w:trPr>
          <w:trHeight w:val="340" w:hRule="exact"/>
        </w:trPr>
        <w:tc>
          <w:tcPr>
            <w:tcW w:w="8897" w:type="dxa"/>
            <w:gridSpan w:val="6"/>
            <w:tcBorders>
              <w:top w:val="nil"/>
              <w:left w:val="single" w:color="auto" w:sz="4" w:space="0"/>
              <w:bottom w:val="nil"/>
              <w:right w:val="single" w:color="auto" w:sz="4" w:space="0"/>
            </w:tcBorders>
            <w:shd w:val="clear" w:color="auto" w:fill="auto"/>
            <w:noWrap/>
            <w:vAlign w:val="center"/>
          </w:tcPr>
          <w:p>
            <w:pPr>
              <w:widowControl/>
              <w:spacing w:line="288" w:lineRule="auto"/>
              <w:rPr>
                <w:color w:val="000000"/>
                <w:kern w:val="0"/>
                <w:sz w:val="22"/>
                <w:szCs w:val="22"/>
              </w:rPr>
            </w:pPr>
            <w:r>
              <w:rPr>
                <w:color w:val="000000"/>
                <w:kern w:val="0"/>
                <w:sz w:val="18"/>
                <w:szCs w:val="18"/>
              </w:rPr>
              <w:t>2.</w:t>
            </w:r>
            <w:r>
              <w:rPr>
                <w:rFonts w:hint="eastAsia"/>
                <w:color w:val="000000"/>
                <w:kern w:val="0"/>
                <w:sz w:val="18"/>
                <w:szCs w:val="18"/>
              </w:rPr>
              <w:t xml:space="preserve"> </w:t>
            </w:r>
            <w:r>
              <w:rPr>
                <w:color w:val="000000"/>
                <w:kern w:val="0"/>
                <w:sz w:val="18"/>
                <w:szCs w:val="18"/>
              </w:rPr>
              <w:t>每例受试者的补偿费请注明单价×次数</w:t>
            </w:r>
            <w:r>
              <w:rPr>
                <w:rFonts w:hint="eastAsia"/>
                <w:color w:val="000000"/>
                <w:kern w:val="0"/>
                <w:sz w:val="18"/>
                <w:szCs w:val="18"/>
              </w:rPr>
              <w:t>；辅助检查检验研究者观察费为受试者检查费的10%</w:t>
            </w:r>
            <w:r>
              <w:rPr>
                <w:color w:val="000000"/>
                <w:kern w:val="0"/>
                <w:sz w:val="18"/>
                <w:szCs w:val="18"/>
              </w:rPr>
              <w:t>。</w:t>
            </w:r>
            <w:r>
              <w:rPr>
                <w:rFonts w:hint="eastAsia"/>
                <w:color w:val="000000"/>
                <w:kern w:val="0"/>
                <w:sz w:val="22"/>
                <w:szCs w:val="22"/>
              </w:rPr>
              <w:t>　</w:t>
            </w:r>
          </w:p>
        </w:tc>
      </w:tr>
      <w:tr>
        <w:tblPrEx>
          <w:tblCellMar>
            <w:top w:w="0" w:type="dxa"/>
            <w:left w:w="108" w:type="dxa"/>
            <w:bottom w:w="0" w:type="dxa"/>
            <w:right w:w="108" w:type="dxa"/>
          </w:tblCellMar>
        </w:tblPrEx>
        <w:trPr>
          <w:trHeight w:val="313" w:hRule="atLeast"/>
        </w:trPr>
        <w:tc>
          <w:tcPr>
            <w:tcW w:w="8897" w:type="dxa"/>
            <w:gridSpan w:val="6"/>
            <w:tcBorders>
              <w:top w:val="nil"/>
              <w:left w:val="single" w:color="auto" w:sz="4" w:space="0"/>
              <w:bottom w:val="nil"/>
              <w:right w:val="single" w:color="auto" w:sz="4" w:space="0"/>
            </w:tcBorders>
            <w:shd w:val="clear" w:color="auto" w:fill="auto"/>
            <w:noWrap/>
            <w:vAlign w:val="center"/>
          </w:tcPr>
          <w:p>
            <w:pPr>
              <w:widowControl/>
              <w:snapToGrid w:val="0"/>
              <w:rPr>
                <w:color w:val="000000"/>
                <w:kern w:val="0"/>
                <w:sz w:val="18"/>
                <w:szCs w:val="18"/>
              </w:rPr>
            </w:pPr>
            <w:r>
              <w:rPr>
                <w:rFonts w:hint="eastAsia"/>
                <w:color w:val="000000"/>
                <w:kern w:val="0"/>
                <w:sz w:val="18"/>
                <w:szCs w:val="18"/>
              </w:rPr>
              <w:t xml:space="preserve">3. </w:t>
            </w:r>
            <w:r>
              <w:rPr>
                <w:color w:val="000000"/>
                <w:kern w:val="0"/>
                <w:sz w:val="18"/>
                <w:szCs w:val="18"/>
              </w:rPr>
              <w:t>档案保管费</w:t>
            </w:r>
            <w:r>
              <w:rPr>
                <w:rFonts w:hint="eastAsia"/>
                <w:color w:val="000000"/>
                <w:kern w:val="0"/>
                <w:sz w:val="18"/>
                <w:szCs w:val="18"/>
              </w:rPr>
              <w:t>：</w:t>
            </w:r>
          </w:p>
          <w:p>
            <w:pPr>
              <w:pStyle w:val="16"/>
              <w:widowControl/>
              <w:snapToGrid w:val="0"/>
              <w:ind w:left="143" w:leftChars="68" w:firstLine="360"/>
              <w:rPr>
                <w:color w:val="000000"/>
                <w:kern w:val="0"/>
                <w:sz w:val="22"/>
                <w:szCs w:val="22"/>
              </w:rPr>
            </w:pPr>
            <w:r>
              <w:rPr>
                <w:rFonts w:hint="eastAsia"/>
                <w:color w:val="000000"/>
                <w:kern w:val="0"/>
                <w:sz w:val="18"/>
                <w:szCs w:val="18"/>
              </w:rPr>
              <w:t>药物临床试验：2000元/项/年×15年（保存15年）=30000元/项（试验资料超过5盒的，超过部分按照500元/盒/年计算）；医疗器械试验：1000元/项/年×10年（保存10年）=10000元/项（试验资料超过3盒的，超过部分按照500元/盒/年计算）。</w:t>
            </w:r>
            <w:r>
              <w:rPr>
                <w:rFonts w:hint="eastAsia"/>
                <w:color w:val="000000"/>
                <w:kern w:val="0"/>
                <w:sz w:val="22"/>
                <w:szCs w:val="22"/>
              </w:rPr>
              <w:t>　</w:t>
            </w:r>
          </w:p>
        </w:tc>
      </w:tr>
      <w:tr>
        <w:tblPrEx>
          <w:tblCellMar>
            <w:top w:w="0" w:type="dxa"/>
            <w:left w:w="108" w:type="dxa"/>
            <w:bottom w:w="0" w:type="dxa"/>
            <w:right w:w="108" w:type="dxa"/>
          </w:tblCellMar>
        </w:tblPrEx>
        <w:trPr>
          <w:trHeight w:val="453" w:hRule="exact"/>
        </w:trPr>
        <w:tc>
          <w:tcPr>
            <w:tcW w:w="8897" w:type="dxa"/>
            <w:gridSpan w:val="6"/>
            <w:tcBorders>
              <w:top w:val="nil"/>
              <w:left w:val="single" w:color="auto" w:sz="4" w:space="0"/>
              <w:bottom w:val="nil"/>
              <w:right w:val="single" w:color="auto" w:sz="4" w:space="0"/>
            </w:tcBorders>
            <w:shd w:val="clear" w:color="auto" w:fill="auto"/>
            <w:noWrap/>
            <w:vAlign w:val="center"/>
          </w:tcPr>
          <w:p>
            <w:pPr>
              <w:widowControl/>
              <w:snapToGrid w:val="0"/>
              <w:rPr>
                <w:color w:val="000000"/>
                <w:kern w:val="0"/>
                <w:sz w:val="22"/>
                <w:szCs w:val="22"/>
              </w:rPr>
            </w:pPr>
            <w:r>
              <w:rPr>
                <w:rFonts w:hint="eastAsia"/>
                <w:color w:val="000000"/>
                <w:kern w:val="0"/>
                <w:sz w:val="18"/>
                <w:szCs w:val="18"/>
              </w:rPr>
              <w:t xml:space="preserve">4. </w:t>
            </w:r>
            <w:r>
              <w:rPr>
                <w:color w:val="000000"/>
                <w:kern w:val="0"/>
                <w:sz w:val="18"/>
                <w:szCs w:val="18"/>
              </w:rPr>
              <w:t>我院为组长单位时收取牵头总例数（即所有研究中心预计总例数）研究者观察费的</w:t>
            </w:r>
            <w:r>
              <w:rPr>
                <w:rFonts w:hint="eastAsia"/>
                <w:color w:val="000000"/>
                <w:kern w:val="0"/>
                <w:sz w:val="18"/>
                <w:szCs w:val="18"/>
              </w:rPr>
              <w:t>（5-</w:t>
            </w:r>
            <w:r>
              <w:rPr>
                <w:color w:val="000000"/>
                <w:kern w:val="0"/>
                <w:sz w:val="18"/>
                <w:szCs w:val="18"/>
              </w:rPr>
              <w:t>10</w:t>
            </w:r>
            <w:r>
              <w:rPr>
                <w:rFonts w:hint="eastAsia"/>
                <w:color w:val="000000"/>
                <w:kern w:val="0"/>
                <w:sz w:val="18"/>
                <w:szCs w:val="18"/>
              </w:rPr>
              <w:t>）</w:t>
            </w:r>
            <w:r>
              <w:rPr>
                <w:color w:val="000000"/>
                <w:kern w:val="0"/>
                <w:sz w:val="18"/>
                <w:szCs w:val="18"/>
              </w:rPr>
              <w:t>％为牵头费。观察费/例×牵头总例数×</w:t>
            </w:r>
            <w:r>
              <w:rPr>
                <w:rFonts w:hint="eastAsia"/>
                <w:color w:val="000000"/>
                <w:kern w:val="0"/>
                <w:sz w:val="18"/>
                <w:szCs w:val="18"/>
              </w:rPr>
              <w:t>（5-</w:t>
            </w:r>
            <w:r>
              <w:rPr>
                <w:color w:val="000000"/>
                <w:kern w:val="0"/>
                <w:sz w:val="18"/>
                <w:szCs w:val="18"/>
              </w:rPr>
              <w:t>10</w:t>
            </w:r>
            <w:r>
              <w:rPr>
                <w:rFonts w:hint="eastAsia"/>
                <w:color w:val="000000"/>
                <w:kern w:val="0"/>
                <w:sz w:val="18"/>
                <w:szCs w:val="18"/>
              </w:rPr>
              <w:t>）</w:t>
            </w:r>
            <w:r>
              <w:rPr>
                <w:color w:val="000000"/>
                <w:kern w:val="0"/>
                <w:sz w:val="18"/>
                <w:szCs w:val="18"/>
              </w:rPr>
              <w:t>％，以我院观察费为基数计算或与主要研究者协商。</w:t>
            </w:r>
          </w:p>
        </w:tc>
      </w:tr>
      <w:tr>
        <w:tblPrEx>
          <w:tblCellMar>
            <w:top w:w="0" w:type="dxa"/>
            <w:left w:w="108" w:type="dxa"/>
            <w:bottom w:w="0" w:type="dxa"/>
            <w:right w:w="108" w:type="dxa"/>
          </w:tblCellMar>
        </w:tblPrEx>
        <w:trPr>
          <w:trHeight w:val="227" w:hRule="exact"/>
        </w:trPr>
        <w:tc>
          <w:tcPr>
            <w:tcW w:w="8897" w:type="dxa"/>
            <w:gridSpan w:val="6"/>
            <w:tcBorders>
              <w:top w:val="nil"/>
              <w:left w:val="single" w:color="auto" w:sz="4" w:space="0"/>
              <w:bottom w:val="nil"/>
              <w:right w:val="single" w:color="auto" w:sz="4" w:space="0"/>
            </w:tcBorders>
            <w:shd w:val="clear" w:color="auto" w:fill="auto"/>
            <w:noWrap/>
            <w:vAlign w:val="center"/>
          </w:tcPr>
          <w:p>
            <w:pPr>
              <w:widowControl/>
              <w:adjustRightInd w:val="0"/>
              <w:snapToGrid w:val="0"/>
              <w:rPr>
                <w:color w:val="000000"/>
                <w:kern w:val="0"/>
                <w:sz w:val="22"/>
                <w:szCs w:val="22"/>
              </w:rPr>
            </w:pPr>
            <w:r>
              <w:rPr>
                <w:rFonts w:hint="eastAsia"/>
                <w:color w:val="000000"/>
                <w:kern w:val="0"/>
                <w:sz w:val="18"/>
                <w:szCs w:val="18"/>
              </w:rPr>
              <w:t xml:space="preserve">5. </w:t>
            </w:r>
            <w:r>
              <w:rPr>
                <w:color w:val="000000"/>
                <w:kern w:val="0"/>
                <w:sz w:val="18"/>
                <w:szCs w:val="18"/>
              </w:rPr>
              <w:t>净值总额计算方法为1+2+3+4+5+6+7</w:t>
            </w:r>
            <w:r>
              <w:rPr>
                <w:rFonts w:hint="eastAsia"/>
                <w:color w:val="000000"/>
                <w:kern w:val="0"/>
                <w:sz w:val="18"/>
                <w:szCs w:val="18"/>
              </w:rPr>
              <w:t>+8</w:t>
            </w:r>
            <w:r>
              <w:rPr>
                <w:color w:val="000000"/>
                <w:kern w:val="0"/>
                <w:sz w:val="18"/>
                <w:szCs w:val="18"/>
              </w:rPr>
              <w:t>（所有涉及费用请归类填入</w:t>
            </w:r>
            <w:r>
              <w:rPr>
                <w:rFonts w:hint="eastAsia"/>
                <w:color w:val="000000"/>
                <w:kern w:val="0"/>
                <w:sz w:val="18"/>
                <w:szCs w:val="18"/>
              </w:rPr>
              <w:t>，</w:t>
            </w:r>
            <w:r>
              <w:rPr>
                <w:color w:val="000000"/>
                <w:kern w:val="0"/>
                <w:sz w:val="18"/>
                <w:szCs w:val="18"/>
              </w:rPr>
              <w:t>不适用的条目可删除）</w:t>
            </w:r>
            <w:r>
              <w:rPr>
                <w:rFonts w:hint="eastAsia"/>
                <w:color w:val="000000"/>
                <w:kern w:val="0"/>
                <w:sz w:val="18"/>
                <w:szCs w:val="18"/>
              </w:rPr>
              <w:t>。</w:t>
            </w:r>
          </w:p>
        </w:tc>
      </w:tr>
      <w:tr>
        <w:tblPrEx>
          <w:tblCellMar>
            <w:top w:w="0" w:type="dxa"/>
            <w:left w:w="108" w:type="dxa"/>
            <w:bottom w:w="0" w:type="dxa"/>
            <w:right w:w="108" w:type="dxa"/>
          </w:tblCellMar>
        </w:tblPrEx>
        <w:trPr>
          <w:trHeight w:val="227" w:hRule="exact"/>
        </w:trPr>
        <w:tc>
          <w:tcPr>
            <w:tcW w:w="8897" w:type="dxa"/>
            <w:gridSpan w:val="6"/>
            <w:tcBorders>
              <w:top w:val="nil"/>
              <w:left w:val="single" w:color="auto" w:sz="4" w:space="0"/>
              <w:right w:val="single" w:color="000000" w:sz="4" w:space="0"/>
            </w:tcBorders>
            <w:shd w:val="clear" w:color="auto" w:fill="auto"/>
            <w:vAlign w:val="center"/>
          </w:tcPr>
          <w:p>
            <w:pPr>
              <w:widowControl/>
              <w:adjustRightInd w:val="0"/>
              <w:snapToGrid w:val="0"/>
              <w:rPr>
                <w:color w:val="000000"/>
                <w:kern w:val="0"/>
                <w:sz w:val="18"/>
                <w:szCs w:val="18"/>
              </w:rPr>
            </w:pPr>
            <w:r>
              <w:rPr>
                <w:rFonts w:hint="eastAsia"/>
                <w:color w:val="000000"/>
                <w:kern w:val="0"/>
                <w:sz w:val="18"/>
                <w:szCs w:val="18"/>
              </w:rPr>
              <w:t>6</w:t>
            </w:r>
            <w:r>
              <w:rPr>
                <w:color w:val="000000"/>
                <w:kern w:val="0"/>
                <w:sz w:val="18"/>
                <w:szCs w:val="18"/>
              </w:rPr>
              <w:t>.</w:t>
            </w:r>
            <w:r>
              <w:rPr>
                <w:rFonts w:hint="eastAsia"/>
                <w:color w:val="000000"/>
                <w:kern w:val="0"/>
                <w:sz w:val="18"/>
                <w:szCs w:val="18"/>
              </w:rPr>
              <w:t xml:space="preserve"> </w:t>
            </w:r>
            <w:r>
              <w:rPr>
                <w:rFonts w:hint="eastAsia"/>
                <w:sz w:val="18"/>
                <w:szCs w:val="18"/>
              </w:rPr>
              <w:t>临床试验</w:t>
            </w:r>
            <w:r>
              <w:rPr>
                <w:rFonts w:hint="eastAsia"/>
                <w:color w:val="000000"/>
                <w:kern w:val="0"/>
                <w:sz w:val="18"/>
                <w:szCs w:val="18"/>
              </w:rPr>
              <w:t>机构</w:t>
            </w:r>
            <w:r>
              <w:rPr>
                <w:color w:val="000000"/>
                <w:kern w:val="0"/>
                <w:sz w:val="18"/>
                <w:szCs w:val="18"/>
              </w:rPr>
              <w:t>管理费为净值总额×</w:t>
            </w:r>
            <w:r>
              <w:rPr>
                <w:rFonts w:hint="eastAsia"/>
                <w:color w:val="000000"/>
                <w:kern w:val="0"/>
                <w:sz w:val="18"/>
                <w:szCs w:val="18"/>
              </w:rPr>
              <w:t>20</w:t>
            </w:r>
            <w:r>
              <w:rPr>
                <w:color w:val="000000"/>
                <w:kern w:val="0"/>
                <w:sz w:val="18"/>
                <w:szCs w:val="18"/>
              </w:rPr>
              <w:t>%</w:t>
            </w:r>
            <w:r>
              <w:rPr>
                <w:rFonts w:hint="eastAsia"/>
                <w:color w:val="000000"/>
                <w:kern w:val="0"/>
                <w:sz w:val="18"/>
                <w:szCs w:val="18"/>
              </w:rPr>
              <w:t>。</w:t>
            </w:r>
          </w:p>
        </w:tc>
      </w:tr>
      <w:tr>
        <w:tblPrEx>
          <w:tblCellMar>
            <w:top w:w="0" w:type="dxa"/>
            <w:left w:w="108" w:type="dxa"/>
            <w:bottom w:w="0" w:type="dxa"/>
            <w:right w:w="108" w:type="dxa"/>
          </w:tblCellMar>
        </w:tblPrEx>
        <w:trPr>
          <w:trHeight w:val="227" w:hRule="exact"/>
        </w:trPr>
        <w:tc>
          <w:tcPr>
            <w:tcW w:w="8897" w:type="dxa"/>
            <w:gridSpan w:val="6"/>
            <w:tcBorders>
              <w:top w:val="nil"/>
              <w:left w:val="single" w:color="auto" w:sz="4" w:space="0"/>
              <w:bottom w:val="nil"/>
              <w:right w:val="single" w:color="auto" w:sz="4" w:space="0"/>
            </w:tcBorders>
            <w:shd w:val="clear" w:color="auto" w:fill="auto"/>
            <w:noWrap/>
            <w:vAlign w:val="center"/>
          </w:tcPr>
          <w:p>
            <w:pPr>
              <w:widowControl/>
              <w:adjustRightInd w:val="0"/>
              <w:snapToGrid w:val="0"/>
              <w:rPr>
                <w:color w:val="000000"/>
                <w:kern w:val="0"/>
                <w:sz w:val="18"/>
                <w:szCs w:val="18"/>
              </w:rPr>
            </w:pPr>
            <w:r>
              <w:rPr>
                <w:rFonts w:hint="eastAsia"/>
                <w:color w:val="000000"/>
                <w:kern w:val="0"/>
                <w:sz w:val="18"/>
                <w:szCs w:val="18"/>
              </w:rPr>
              <w:t>7. 税</w:t>
            </w:r>
            <w:r>
              <w:rPr>
                <w:color w:val="000000"/>
                <w:kern w:val="0"/>
                <w:sz w:val="18"/>
                <w:szCs w:val="18"/>
              </w:rPr>
              <w:t>费计算方法为（净值总额+</w:t>
            </w:r>
            <w:r>
              <w:rPr>
                <w:rFonts w:hint="eastAsia"/>
                <w:color w:val="000000"/>
                <w:kern w:val="0"/>
                <w:sz w:val="18"/>
                <w:szCs w:val="18"/>
              </w:rPr>
              <w:t>机构</w:t>
            </w:r>
            <w:r>
              <w:rPr>
                <w:color w:val="000000"/>
                <w:kern w:val="0"/>
                <w:sz w:val="18"/>
                <w:szCs w:val="18"/>
              </w:rPr>
              <w:t>管理费）×6.7</w:t>
            </w:r>
            <w:r>
              <w:rPr>
                <w:rFonts w:hint="eastAsia"/>
                <w:color w:val="000000"/>
                <w:kern w:val="0"/>
                <w:sz w:val="18"/>
                <w:szCs w:val="18"/>
              </w:rPr>
              <w:t>2</w:t>
            </w:r>
            <w:r>
              <w:rPr>
                <w:color w:val="000000"/>
                <w:kern w:val="0"/>
                <w:sz w:val="18"/>
                <w:szCs w:val="18"/>
              </w:rPr>
              <w:t>%</w:t>
            </w:r>
            <w:r>
              <w:rPr>
                <w:rFonts w:hint="eastAsia"/>
                <w:color w:val="000000"/>
                <w:kern w:val="0"/>
                <w:sz w:val="18"/>
                <w:szCs w:val="18"/>
              </w:rPr>
              <w:t>。</w:t>
            </w:r>
          </w:p>
          <w:p>
            <w:pPr>
              <w:widowControl/>
              <w:adjustRightInd w:val="0"/>
              <w:snapToGrid w:val="0"/>
              <w:rPr>
                <w:color w:val="000000"/>
                <w:kern w:val="0"/>
                <w:sz w:val="18"/>
                <w:szCs w:val="18"/>
              </w:rPr>
            </w:pPr>
          </w:p>
        </w:tc>
      </w:tr>
      <w:tr>
        <w:tblPrEx>
          <w:tblCellMar>
            <w:top w:w="0" w:type="dxa"/>
            <w:left w:w="108" w:type="dxa"/>
            <w:bottom w:w="0" w:type="dxa"/>
            <w:right w:w="108" w:type="dxa"/>
          </w:tblCellMar>
        </w:tblPrEx>
        <w:trPr>
          <w:trHeight w:val="827" w:hRule="exact"/>
        </w:trPr>
        <w:tc>
          <w:tcPr>
            <w:tcW w:w="8897" w:type="dxa"/>
            <w:gridSpan w:val="6"/>
            <w:tcBorders>
              <w:top w:val="nil"/>
              <w:left w:val="single" w:color="auto" w:sz="4" w:space="0"/>
              <w:bottom w:val="single" w:color="auto" w:sz="4" w:space="0"/>
              <w:right w:val="single" w:color="auto" w:sz="4" w:space="0"/>
            </w:tcBorders>
            <w:shd w:val="clear" w:color="auto" w:fill="auto"/>
            <w:noWrap/>
            <w:vAlign w:val="center"/>
          </w:tcPr>
          <w:p>
            <w:pPr>
              <w:widowControl/>
              <w:numPr>
                <w:ilvl w:val="0"/>
                <w:numId w:val="7"/>
              </w:numPr>
              <w:snapToGrid w:val="0"/>
              <w:jc w:val="left"/>
              <w:rPr>
                <w:color w:val="000000"/>
                <w:kern w:val="0"/>
                <w:sz w:val="18"/>
                <w:szCs w:val="18"/>
              </w:rPr>
            </w:pPr>
            <w:commentRangeStart w:id="2"/>
            <w:r>
              <w:rPr>
                <w:color w:val="000000"/>
                <w:kern w:val="0"/>
                <w:sz w:val="18"/>
                <w:szCs w:val="18"/>
              </w:rPr>
              <w:t>受试者补贴</w:t>
            </w:r>
            <w:r>
              <w:rPr>
                <w:rFonts w:hint="eastAsia"/>
                <w:color w:val="000000"/>
                <w:kern w:val="0"/>
                <w:sz w:val="18"/>
                <w:szCs w:val="18"/>
              </w:rPr>
              <w:t>个税</w:t>
            </w:r>
            <w:r>
              <w:rPr>
                <w:color w:val="000000"/>
                <w:kern w:val="0"/>
                <w:sz w:val="18"/>
                <w:szCs w:val="18"/>
              </w:rPr>
              <w:t>计算方法：</w:t>
            </w:r>
            <w:r>
              <w:rPr>
                <w:color w:val="000000"/>
                <w:kern w:val="0"/>
                <w:sz w:val="18"/>
                <w:szCs w:val="18"/>
                <w:lang w:bidi="ar"/>
              </w:rPr>
              <w:t>国家规定人员补助收入超 800 元（当月合计）需要缴税，具体为：800-4000 元的，(</w:t>
            </w:r>
            <w:r>
              <w:rPr>
                <w:rFonts w:hint="eastAsia"/>
                <w:color w:val="000000"/>
                <w:kern w:val="0"/>
                <w:sz w:val="18"/>
                <w:szCs w:val="18"/>
                <w:lang w:bidi="ar"/>
              </w:rPr>
              <w:t>X</w:t>
            </w:r>
            <w:r>
              <w:rPr>
                <w:color w:val="000000"/>
                <w:kern w:val="0"/>
                <w:sz w:val="18"/>
                <w:szCs w:val="18"/>
                <w:lang w:bidi="ar"/>
              </w:rPr>
              <w:t>-800)*0.2 是税金；4000 元以上的，</w:t>
            </w:r>
            <w:r>
              <w:rPr>
                <w:rFonts w:hint="eastAsia"/>
                <w:color w:val="000000"/>
                <w:kern w:val="0"/>
                <w:sz w:val="18"/>
                <w:szCs w:val="18"/>
                <w:lang w:bidi="ar"/>
              </w:rPr>
              <w:t>X</w:t>
            </w:r>
            <w:r>
              <w:rPr>
                <w:color w:val="000000"/>
                <w:kern w:val="0"/>
                <w:sz w:val="18"/>
                <w:szCs w:val="18"/>
                <w:lang w:bidi="ar"/>
              </w:rPr>
              <w:t>*0.8*0.2 是税金。（</w:t>
            </w:r>
            <w:r>
              <w:rPr>
                <w:rFonts w:hint="eastAsia"/>
                <w:color w:val="000000"/>
                <w:kern w:val="0"/>
                <w:sz w:val="18"/>
                <w:szCs w:val="18"/>
                <w:lang w:bidi="ar"/>
              </w:rPr>
              <w:t>X</w:t>
            </w:r>
            <w:r>
              <w:rPr>
                <w:color w:val="000000"/>
                <w:kern w:val="0"/>
                <w:sz w:val="18"/>
                <w:szCs w:val="18"/>
                <w:lang w:bidi="ar"/>
              </w:rPr>
              <w:t>为</w:t>
            </w:r>
            <w:r>
              <w:rPr>
                <w:rFonts w:hint="eastAsia"/>
                <w:color w:val="000000"/>
                <w:kern w:val="0"/>
                <w:sz w:val="18"/>
                <w:szCs w:val="18"/>
                <w:lang w:bidi="ar"/>
              </w:rPr>
              <w:t>税前</w:t>
            </w:r>
            <w:r>
              <w:rPr>
                <w:color w:val="000000"/>
                <w:kern w:val="0"/>
                <w:sz w:val="18"/>
                <w:szCs w:val="18"/>
                <w:lang w:bidi="ar"/>
              </w:rPr>
              <w:t>总数）</w:t>
            </w:r>
            <w:commentRangeEnd w:id="2"/>
            <w:r>
              <w:commentReference w:id="2"/>
            </w:r>
          </w:p>
          <w:p>
            <w:pPr>
              <w:widowControl/>
              <w:numPr>
                <w:ilvl w:val="255"/>
                <w:numId w:val="0"/>
              </w:numPr>
              <w:adjustRightInd w:val="0"/>
              <w:snapToGrid w:val="0"/>
              <w:rPr>
                <w:color w:val="000000"/>
                <w:kern w:val="0"/>
                <w:sz w:val="18"/>
                <w:szCs w:val="18"/>
              </w:rPr>
            </w:pPr>
          </w:p>
        </w:tc>
      </w:tr>
    </w:tbl>
    <w:p>
      <w:pPr>
        <w:snapToGrid w:val="0"/>
        <w:rPr>
          <w:b/>
          <w:kern w:val="0"/>
          <w:sz w:val="28"/>
          <w:szCs w:val="20"/>
        </w:rPr>
      </w:pPr>
    </w:p>
    <w:sectPr>
      <w:footerReference r:id="rId5" w:type="default"/>
      <w:pgSz w:w="11906" w:h="16838"/>
      <w:pgMar w:top="1440" w:right="1800" w:bottom="1440" w:left="1800"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dell" w:date="2023-05-24T09:45:00Z" w:initials="d">
    <w:p w14:paraId="09F963C7">
      <w:pPr>
        <w:pStyle w:val="2"/>
      </w:pPr>
      <w:r>
        <w:t>黄色标记部分可根据试验类型和试验具体情况进行调整</w:t>
      </w:r>
      <w:r>
        <w:rPr>
          <w:rFonts w:hint="eastAsia"/>
        </w:rPr>
        <w:t>。</w:t>
      </w:r>
    </w:p>
  </w:comment>
  <w:comment w:id="1" w:author="NJ" w:date="2023-07-28T11:24:00Z" w:initials="NJ">
    <w:p w14:paraId="454A4FC0">
      <w:pPr>
        <w:pStyle w:val="2"/>
      </w:pPr>
      <w:r>
        <w:rPr>
          <w:rFonts w:hint="eastAsia"/>
        </w:rPr>
        <w:t>均为法人签署。特殊情况下如授权人签署，须后附双方签字并单位盖章的授权书。</w:t>
      </w:r>
    </w:p>
  </w:comment>
  <w:comment w:id="2" w:author="NJ" w:date="2023-07-06T13:11:00Z" w:initials="NJ">
    <w:p w14:paraId="6C0E0040">
      <w:pPr>
        <w:pStyle w:val="2"/>
      </w:pPr>
      <w:r>
        <w:rPr>
          <w:rFonts w:hint="eastAsia"/>
        </w:rPr>
        <w:t>例如：已知税后要实付7400元/例，应先求税前总数X，计算公式为：X-X*0.8*0.2=7400，X=8809.52，</w:t>
      </w:r>
      <w:r>
        <w:rPr>
          <w:rFonts w:hint="eastAsia"/>
          <w:color w:val="000000"/>
          <w:kern w:val="0"/>
          <w:szCs w:val="21"/>
        </w:rPr>
        <w:t>受试者补贴个税</w:t>
      </w:r>
      <w:r>
        <w:rPr>
          <w:rFonts w:hint="eastAsia"/>
        </w:rPr>
        <w:t>=8809.52-7400=1409.52元/例。</w:t>
      </w:r>
    </w:p>
    <w:p w14:paraId="53BC4442">
      <w:pPr>
        <w:pStyle w:val="2"/>
      </w:pPr>
      <w:r>
        <w:rPr>
          <w:rFonts w:hint="eastAsia"/>
        </w:rPr>
        <w:t>试验实际支付时也请注意。</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9F963C7" w15:done="0"/>
  <w15:commentEx w15:paraId="454A4FC0" w15:done="0"/>
  <w15:commentEx w15:paraId="53BC4442"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 xml:space="preserve">第 </w:t>
                          </w:r>
                          <w:r>
                            <w:fldChar w:fldCharType="begin"/>
                          </w:r>
                          <w:r>
                            <w:instrText xml:space="preserve"> PAGE  \* MERGEFORMAT </w:instrText>
                          </w:r>
                          <w:r>
                            <w:fldChar w:fldCharType="separate"/>
                          </w:r>
                          <w:r>
                            <w:t>11</w:t>
                          </w:r>
                          <w:r>
                            <w:fldChar w:fldCharType="end"/>
                          </w:r>
                          <w:r>
                            <w:t xml:space="preserve"> 页 共 </w:t>
                          </w:r>
                          <w:r>
                            <w:fldChar w:fldCharType="begin"/>
                          </w:r>
                          <w:r>
                            <w:instrText xml:space="preserve"> NUMPAGES  \* MERGEFORMAT </w:instrText>
                          </w:r>
                          <w:r>
                            <w:fldChar w:fldCharType="separate"/>
                          </w:r>
                          <w:r>
                            <w:t>11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5"/>
                    </w:pPr>
                    <w:r>
                      <w:t xml:space="preserve">第 </w:t>
                    </w:r>
                    <w:r>
                      <w:fldChar w:fldCharType="begin"/>
                    </w:r>
                    <w:r>
                      <w:instrText xml:space="preserve"> PAGE  \* MERGEFORMAT </w:instrText>
                    </w:r>
                    <w:r>
                      <w:fldChar w:fldCharType="separate"/>
                    </w:r>
                    <w:r>
                      <w:t>11</w:t>
                    </w:r>
                    <w:r>
                      <w:fldChar w:fldCharType="end"/>
                    </w:r>
                    <w:r>
                      <w:t xml:space="preserve"> 页 共 </w:t>
                    </w:r>
                    <w:r>
                      <w:fldChar w:fldCharType="begin"/>
                    </w:r>
                    <w:r>
                      <w:instrText xml:space="preserve"> NUMPAGES  \* MERGEFORMAT </w:instrText>
                    </w:r>
                    <w:r>
                      <w:fldChar w:fldCharType="separate"/>
                    </w:r>
                    <w:r>
                      <w:t>11</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3272C9"/>
    <w:multiLevelType w:val="singleLevel"/>
    <w:tmpl w:val="893272C9"/>
    <w:lvl w:ilvl="0" w:tentative="0">
      <w:start w:val="8"/>
      <w:numFmt w:val="decimal"/>
      <w:suff w:val="space"/>
      <w:lvlText w:val="%1."/>
      <w:lvlJc w:val="left"/>
    </w:lvl>
  </w:abstractNum>
  <w:abstractNum w:abstractNumId="1">
    <w:nsid w:val="CEA015A9"/>
    <w:multiLevelType w:val="singleLevel"/>
    <w:tmpl w:val="CEA015A9"/>
    <w:lvl w:ilvl="0" w:tentative="0">
      <w:start w:val="1"/>
      <w:numFmt w:val="decimal"/>
      <w:lvlText w:val="%1."/>
      <w:lvlJc w:val="left"/>
      <w:pPr>
        <w:ind w:left="425" w:hanging="425"/>
      </w:pPr>
      <w:rPr>
        <w:rFonts w:hint="default"/>
      </w:rPr>
    </w:lvl>
  </w:abstractNum>
  <w:abstractNum w:abstractNumId="2">
    <w:nsid w:val="E0758820"/>
    <w:multiLevelType w:val="singleLevel"/>
    <w:tmpl w:val="E0758820"/>
    <w:lvl w:ilvl="0" w:tentative="0">
      <w:start w:val="1"/>
      <w:numFmt w:val="decimal"/>
      <w:lvlText w:val="%1."/>
      <w:lvlJc w:val="left"/>
      <w:pPr>
        <w:ind w:left="425" w:hanging="425"/>
      </w:pPr>
      <w:rPr>
        <w:rFonts w:hint="default"/>
      </w:rPr>
    </w:lvl>
  </w:abstractNum>
  <w:abstractNum w:abstractNumId="3">
    <w:nsid w:val="E29C8E70"/>
    <w:multiLevelType w:val="singleLevel"/>
    <w:tmpl w:val="E29C8E70"/>
    <w:lvl w:ilvl="0" w:tentative="0">
      <w:start w:val="1"/>
      <w:numFmt w:val="decimal"/>
      <w:lvlText w:val="%1."/>
      <w:lvlJc w:val="left"/>
      <w:pPr>
        <w:ind w:left="425" w:hanging="425"/>
      </w:pPr>
      <w:rPr>
        <w:rFonts w:hint="default"/>
      </w:rPr>
    </w:lvl>
  </w:abstractNum>
  <w:abstractNum w:abstractNumId="4">
    <w:nsid w:val="40E7406A"/>
    <w:multiLevelType w:val="singleLevel"/>
    <w:tmpl w:val="40E7406A"/>
    <w:lvl w:ilvl="0" w:tentative="0">
      <w:start w:val="1"/>
      <w:numFmt w:val="decimal"/>
      <w:lvlText w:val="%1."/>
      <w:lvlJc w:val="left"/>
      <w:pPr>
        <w:tabs>
          <w:tab w:val="left" w:pos="425"/>
        </w:tabs>
        <w:ind w:left="425" w:hanging="425"/>
      </w:pPr>
      <w:rPr>
        <w:rFonts w:hint="default"/>
        <w:b w:val="0"/>
      </w:rPr>
    </w:lvl>
  </w:abstractNum>
  <w:abstractNum w:abstractNumId="5">
    <w:nsid w:val="45821B1C"/>
    <w:multiLevelType w:val="singleLevel"/>
    <w:tmpl w:val="45821B1C"/>
    <w:lvl w:ilvl="0" w:tentative="0">
      <w:start w:val="1"/>
      <w:numFmt w:val="decimal"/>
      <w:lvlText w:val="%1."/>
      <w:lvlJc w:val="left"/>
      <w:pPr>
        <w:ind w:left="425" w:hanging="425"/>
      </w:pPr>
      <w:rPr>
        <w:rFonts w:hint="default"/>
      </w:rPr>
    </w:lvl>
  </w:abstractNum>
  <w:abstractNum w:abstractNumId="6">
    <w:nsid w:val="57F89259"/>
    <w:multiLevelType w:val="singleLevel"/>
    <w:tmpl w:val="57F89259"/>
    <w:lvl w:ilvl="0" w:tentative="0">
      <w:start w:val="1"/>
      <w:numFmt w:val="decimal"/>
      <w:lvlText w:val="%1."/>
      <w:lvlJc w:val="left"/>
      <w:pPr>
        <w:tabs>
          <w:tab w:val="left" w:pos="425"/>
        </w:tabs>
        <w:ind w:left="425" w:hanging="425"/>
      </w:pPr>
      <w:rPr>
        <w:rFonts w:hint="default"/>
      </w:rPr>
    </w:lvl>
  </w:abstractNum>
  <w:num w:numId="1">
    <w:abstractNumId w:val="6"/>
  </w:num>
  <w:num w:numId="2">
    <w:abstractNumId w:val="5"/>
  </w:num>
  <w:num w:numId="3">
    <w:abstractNumId w:val="3"/>
  </w:num>
  <w:num w:numId="4">
    <w:abstractNumId w:val="2"/>
  </w:num>
  <w:num w:numId="5">
    <w:abstractNumId w:val="1"/>
  </w:num>
  <w:num w:numId="6">
    <w:abstractNumId w:val="4"/>
  </w:num>
  <w:num w:numId="7">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dell">
    <w15:presenceInfo w15:providerId="None" w15:userId="dell"/>
  </w15:person>
  <w15:person w15:author="NJ">
    <w15:presenceInfo w15:providerId="None" w15:userId="N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E2MzAzYjQ5NWRjMjJjMjE2YWY2YTFlNGU5YjJmYjUifQ=="/>
  </w:docVars>
  <w:rsids>
    <w:rsidRoot w:val="00A91860"/>
    <w:rsid w:val="00021970"/>
    <w:rsid w:val="000438B9"/>
    <w:rsid w:val="000A2A85"/>
    <w:rsid w:val="000A5030"/>
    <w:rsid w:val="000E0837"/>
    <w:rsid w:val="001018CA"/>
    <w:rsid w:val="001A0B33"/>
    <w:rsid w:val="001C2070"/>
    <w:rsid w:val="001C504A"/>
    <w:rsid w:val="001F29F5"/>
    <w:rsid w:val="002212DC"/>
    <w:rsid w:val="00226B63"/>
    <w:rsid w:val="0024117C"/>
    <w:rsid w:val="00247703"/>
    <w:rsid w:val="00254421"/>
    <w:rsid w:val="002B6E10"/>
    <w:rsid w:val="002D196C"/>
    <w:rsid w:val="002D407B"/>
    <w:rsid w:val="002F53A0"/>
    <w:rsid w:val="003319B1"/>
    <w:rsid w:val="00332121"/>
    <w:rsid w:val="0033300E"/>
    <w:rsid w:val="00342293"/>
    <w:rsid w:val="003B700B"/>
    <w:rsid w:val="003B76B0"/>
    <w:rsid w:val="003E6DE5"/>
    <w:rsid w:val="003F66BF"/>
    <w:rsid w:val="00414D7A"/>
    <w:rsid w:val="0042530A"/>
    <w:rsid w:val="004306C2"/>
    <w:rsid w:val="00433979"/>
    <w:rsid w:val="00452074"/>
    <w:rsid w:val="00467AA0"/>
    <w:rsid w:val="00481622"/>
    <w:rsid w:val="00487FAB"/>
    <w:rsid w:val="004976CC"/>
    <w:rsid w:val="004A0014"/>
    <w:rsid w:val="004A27A1"/>
    <w:rsid w:val="004B600D"/>
    <w:rsid w:val="004D4D0B"/>
    <w:rsid w:val="005302C7"/>
    <w:rsid w:val="00530A92"/>
    <w:rsid w:val="00572B4D"/>
    <w:rsid w:val="005C7954"/>
    <w:rsid w:val="005D4C2E"/>
    <w:rsid w:val="005E0E43"/>
    <w:rsid w:val="00625C4E"/>
    <w:rsid w:val="006768FF"/>
    <w:rsid w:val="00677697"/>
    <w:rsid w:val="006A14C2"/>
    <w:rsid w:val="006A2448"/>
    <w:rsid w:val="006B4AF0"/>
    <w:rsid w:val="006F0F59"/>
    <w:rsid w:val="00716E3C"/>
    <w:rsid w:val="007434FB"/>
    <w:rsid w:val="0074774C"/>
    <w:rsid w:val="0076686D"/>
    <w:rsid w:val="0079650B"/>
    <w:rsid w:val="007A5D88"/>
    <w:rsid w:val="007B54E6"/>
    <w:rsid w:val="00817440"/>
    <w:rsid w:val="0082360E"/>
    <w:rsid w:val="00832442"/>
    <w:rsid w:val="00836E03"/>
    <w:rsid w:val="00851723"/>
    <w:rsid w:val="008A77B8"/>
    <w:rsid w:val="008C71D0"/>
    <w:rsid w:val="008E377B"/>
    <w:rsid w:val="008F2DD4"/>
    <w:rsid w:val="0091106E"/>
    <w:rsid w:val="00930C56"/>
    <w:rsid w:val="00965984"/>
    <w:rsid w:val="009F4859"/>
    <w:rsid w:val="00A20ECD"/>
    <w:rsid w:val="00A7015D"/>
    <w:rsid w:val="00A7441C"/>
    <w:rsid w:val="00A7699A"/>
    <w:rsid w:val="00A77B0D"/>
    <w:rsid w:val="00A91860"/>
    <w:rsid w:val="00AB5CB5"/>
    <w:rsid w:val="00AB6F58"/>
    <w:rsid w:val="00AB7A1C"/>
    <w:rsid w:val="00AC05A8"/>
    <w:rsid w:val="00B04D0E"/>
    <w:rsid w:val="00B075A2"/>
    <w:rsid w:val="00B42724"/>
    <w:rsid w:val="00B4427B"/>
    <w:rsid w:val="00B546E8"/>
    <w:rsid w:val="00BB261F"/>
    <w:rsid w:val="00BB5C57"/>
    <w:rsid w:val="00C4620F"/>
    <w:rsid w:val="00C6664C"/>
    <w:rsid w:val="00CA7D5E"/>
    <w:rsid w:val="00CC29BE"/>
    <w:rsid w:val="00CC3955"/>
    <w:rsid w:val="00CD0A50"/>
    <w:rsid w:val="00CF7B39"/>
    <w:rsid w:val="00D64CCE"/>
    <w:rsid w:val="00D94EC5"/>
    <w:rsid w:val="00DC433C"/>
    <w:rsid w:val="00DD4DF3"/>
    <w:rsid w:val="00DD4E8D"/>
    <w:rsid w:val="00E435EF"/>
    <w:rsid w:val="00E50A52"/>
    <w:rsid w:val="00E73FBD"/>
    <w:rsid w:val="00E834CA"/>
    <w:rsid w:val="00E83811"/>
    <w:rsid w:val="00E91BC3"/>
    <w:rsid w:val="00EB5B7F"/>
    <w:rsid w:val="00EC6B64"/>
    <w:rsid w:val="00ED5A70"/>
    <w:rsid w:val="00EE0DB8"/>
    <w:rsid w:val="00F252E7"/>
    <w:rsid w:val="00F3752E"/>
    <w:rsid w:val="00F67ED0"/>
    <w:rsid w:val="00F83773"/>
    <w:rsid w:val="00F905C4"/>
    <w:rsid w:val="00FB2945"/>
    <w:rsid w:val="0110521A"/>
    <w:rsid w:val="01207B0A"/>
    <w:rsid w:val="021F2AE3"/>
    <w:rsid w:val="0286707D"/>
    <w:rsid w:val="02927650"/>
    <w:rsid w:val="02FC0A37"/>
    <w:rsid w:val="030B49C9"/>
    <w:rsid w:val="03447208"/>
    <w:rsid w:val="035B74A1"/>
    <w:rsid w:val="03636F88"/>
    <w:rsid w:val="03741F94"/>
    <w:rsid w:val="0383304B"/>
    <w:rsid w:val="03D352CC"/>
    <w:rsid w:val="044944A5"/>
    <w:rsid w:val="046A6C82"/>
    <w:rsid w:val="04A60E4E"/>
    <w:rsid w:val="04A6190D"/>
    <w:rsid w:val="04B62533"/>
    <w:rsid w:val="04E15802"/>
    <w:rsid w:val="04F05A45"/>
    <w:rsid w:val="05355E11"/>
    <w:rsid w:val="058B39C0"/>
    <w:rsid w:val="059064AA"/>
    <w:rsid w:val="06844340"/>
    <w:rsid w:val="06E2416B"/>
    <w:rsid w:val="075852F4"/>
    <w:rsid w:val="07594788"/>
    <w:rsid w:val="07AC259F"/>
    <w:rsid w:val="07CB0DF0"/>
    <w:rsid w:val="07D16002"/>
    <w:rsid w:val="07E502BF"/>
    <w:rsid w:val="08726929"/>
    <w:rsid w:val="0942069F"/>
    <w:rsid w:val="09A82CC9"/>
    <w:rsid w:val="09AB391C"/>
    <w:rsid w:val="0A272CE2"/>
    <w:rsid w:val="0AB019A8"/>
    <w:rsid w:val="0ADB7197"/>
    <w:rsid w:val="0B311689"/>
    <w:rsid w:val="0B920249"/>
    <w:rsid w:val="0C1824A0"/>
    <w:rsid w:val="0C5F3514"/>
    <w:rsid w:val="0D186481"/>
    <w:rsid w:val="0D2B1479"/>
    <w:rsid w:val="0D6E60A1"/>
    <w:rsid w:val="0D9553DC"/>
    <w:rsid w:val="0DC161D1"/>
    <w:rsid w:val="0DC734C4"/>
    <w:rsid w:val="0DE3391D"/>
    <w:rsid w:val="0E1E0331"/>
    <w:rsid w:val="0ECB74AA"/>
    <w:rsid w:val="0ECE329B"/>
    <w:rsid w:val="0F0379DE"/>
    <w:rsid w:val="0F087587"/>
    <w:rsid w:val="0F313AFE"/>
    <w:rsid w:val="0F827BE2"/>
    <w:rsid w:val="10354C54"/>
    <w:rsid w:val="10831778"/>
    <w:rsid w:val="110006C9"/>
    <w:rsid w:val="11902A8A"/>
    <w:rsid w:val="11E76422"/>
    <w:rsid w:val="1238120C"/>
    <w:rsid w:val="12C80001"/>
    <w:rsid w:val="13DF3E6C"/>
    <w:rsid w:val="13FC18CF"/>
    <w:rsid w:val="14135724"/>
    <w:rsid w:val="14B43E2C"/>
    <w:rsid w:val="14C67343"/>
    <w:rsid w:val="158521DA"/>
    <w:rsid w:val="15C471A6"/>
    <w:rsid w:val="16273CD2"/>
    <w:rsid w:val="166444E5"/>
    <w:rsid w:val="16B32D77"/>
    <w:rsid w:val="16BA2357"/>
    <w:rsid w:val="16C451FE"/>
    <w:rsid w:val="16E51D45"/>
    <w:rsid w:val="173C2D6C"/>
    <w:rsid w:val="17423394"/>
    <w:rsid w:val="175F4917"/>
    <w:rsid w:val="17AF7317"/>
    <w:rsid w:val="17D17958"/>
    <w:rsid w:val="181C6D2F"/>
    <w:rsid w:val="182A5E21"/>
    <w:rsid w:val="1885759C"/>
    <w:rsid w:val="18B47F49"/>
    <w:rsid w:val="18B76B4E"/>
    <w:rsid w:val="18CD7718"/>
    <w:rsid w:val="18CE2B7F"/>
    <w:rsid w:val="18F90F15"/>
    <w:rsid w:val="19562D59"/>
    <w:rsid w:val="19EC2827"/>
    <w:rsid w:val="1A037B71"/>
    <w:rsid w:val="1A1357FA"/>
    <w:rsid w:val="1A836581"/>
    <w:rsid w:val="1A975FC6"/>
    <w:rsid w:val="1B4D5548"/>
    <w:rsid w:val="1B890B14"/>
    <w:rsid w:val="1BF974E3"/>
    <w:rsid w:val="1D232E8A"/>
    <w:rsid w:val="1D295B40"/>
    <w:rsid w:val="1D653B11"/>
    <w:rsid w:val="1D842512"/>
    <w:rsid w:val="1D890CAA"/>
    <w:rsid w:val="1DD43CFE"/>
    <w:rsid w:val="1E1F7B22"/>
    <w:rsid w:val="1E203D80"/>
    <w:rsid w:val="1E3E3D79"/>
    <w:rsid w:val="1E873354"/>
    <w:rsid w:val="1E894AE9"/>
    <w:rsid w:val="1E9201EC"/>
    <w:rsid w:val="1E9312AC"/>
    <w:rsid w:val="1EF729F2"/>
    <w:rsid w:val="1F6D16A4"/>
    <w:rsid w:val="1FBB067E"/>
    <w:rsid w:val="206C46C2"/>
    <w:rsid w:val="20AB5F0C"/>
    <w:rsid w:val="20D52F5C"/>
    <w:rsid w:val="214E4066"/>
    <w:rsid w:val="215A13F4"/>
    <w:rsid w:val="21722457"/>
    <w:rsid w:val="21AF0D0A"/>
    <w:rsid w:val="21DC005A"/>
    <w:rsid w:val="21F949BD"/>
    <w:rsid w:val="2230171F"/>
    <w:rsid w:val="22304B0F"/>
    <w:rsid w:val="22446336"/>
    <w:rsid w:val="2258623D"/>
    <w:rsid w:val="23160915"/>
    <w:rsid w:val="2412732E"/>
    <w:rsid w:val="246F72D2"/>
    <w:rsid w:val="2480698E"/>
    <w:rsid w:val="24B4750C"/>
    <w:rsid w:val="24B97EB5"/>
    <w:rsid w:val="254516E2"/>
    <w:rsid w:val="2556154E"/>
    <w:rsid w:val="25A84B90"/>
    <w:rsid w:val="262850A4"/>
    <w:rsid w:val="26B50445"/>
    <w:rsid w:val="28066707"/>
    <w:rsid w:val="2818148F"/>
    <w:rsid w:val="28792AE3"/>
    <w:rsid w:val="28B704A4"/>
    <w:rsid w:val="28FE2E23"/>
    <w:rsid w:val="29172D16"/>
    <w:rsid w:val="291F5D2E"/>
    <w:rsid w:val="29534671"/>
    <w:rsid w:val="29AA0091"/>
    <w:rsid w:val="2A1C040D"/>
    <w:rsid w:val="2A2B429D"/>
    <w:rsid w:val="2A3A313B"/>
    <w:rsid w:val="2AD31A7E"/>
    <w:rsid w:val="2B54695C"/>
    <w:rsid w:val="2B5577AC"/>
    <w:rsid w:val="2BE40BF9"/>
    <w:rsid w:val="2C1C21D6"/>
    <w:rsid w:val="2C2440A3"/>
    <w:rsid w:val="2C286604"/>
    <w:rsid w:val="2C8542BD"/>
    <w:rsid w:val="2CD724CE"/>
    <w:rsid w:val="2D104627"/>
    <w:rsid w:val="2D2500D2"/>
    <w:rsid w:val="2D56593C"/>
    <w:rsid w:val="2D713318"/>
    <w:rsid w:val="2D7E77E3"/>
    <w:rsid w:val="2D9E33B7"/>
    <w:rsid w:val="2DCC2E06"/>
    <w:rsid w:val="2E1F2D74"/>
    <w:rsid w:val="2E382E3F"/>
    <w:rsid w:val="2E653E9C"/>
    <w:rsid w:val="2E9F50E9"/>
    <w:rsid w:val="2F57478F"/>
    <w:rsid w:val="2FB1778F"/>
    <w:rsid w:val="2FD2384C"/>
    <w:rsid w:val="30076040"/>
    <w:rsid w:val="30854FE5"/>
    <w:rsid w:val="316D45F8"/>
    <w:rsid w:val="31A517E2"/>
    <w:rsid w:val="31B85D79"/>
    <w:rsid w:val="320076FD"/>
    <w:rsid w:val="32213220"/>
    <w:rsid w:val="322E3C05"/>
    <w:rsid w:val="326870F8"/>
    <w:rsid w:val="32787F7F"/>
    <w:rsid w:val="329A0394"/>
    <w:rsid w:val="32E60304"/>
    <w:rsid w:val="32F74F24"/>
    <w:rsid w:val="32FC4615"/>
    <w:rsid w:val="332544EC"/>
    <w:rsid w:val="336F75CB"/>
    <w:rsid w:val="33B3637D"/>
    <w:rsid w:val="346F27C6"/>
    <w:rsid w:val="34F3058C"/>
    <w:rsid w:val="353C799D"/>
    <w:rsid w:val="35F7271C"/>
    <w:rsid w:val="3602400E"/>
    <w:rsid w:val="365C26BE"/>
    <w:rsid w:val="367C4ADB"/>
    <w:rsid w:val="36D4257E"/>
    <w:rsid w:val="36F65FFF"/>
    <w:rsid w:val="370F76FD"/>
    <w:rsid w:val="372268CB"/>
    <w:rsid w:val="37490E61"/>
    <w:rsid w:val="37F01E48"/>
    <w:rsid w:val="386A74C5"/>
    <w:rsid w:val="38D94467"/>
    <w:rsid w:val="38F961F6"/>
    <w:rsid w:val="390D3E7C"/>
    <w:rsid w:val="39273424"/>
    <w:rsid w:val="39B12CEE"/>
    <w:rsid w:val="39E207A8"/>
    <w:rsid w:val="39F074DB"/>
    <w:rsid w:val="3A025D39"/>
    <w:rsid w:val="3A0F51CF"/>
    <w:rsid w:val="3A541FF7"/>
    <w:rsid w:val="3ADD023E"/>
    <w:rsid w:val="3B1B48C3"/>
    <w:rsid w:val="3B672B3A"/>
    <w:rsid w:val="3BBF5EE3"/>
    <w:rsid w:val="3CDA030D"/>
    <w:rsid w:val="3CE624B3"/>
    <w:rsid w:val="3D63333D"/>
    <w:rsid w:val="3DCB0822"/>
    <w:rsid w:val="3DF754EB"/>
    <w:rsid w:val="3E6118E2"/>
    <w:rsid w:val="3E6622F9"/>
    <w:rsid w:val="3E9F6BF0"/>
    <w:rsid w:val="3ED800C5"/>
    <w:rsid w:val="3F255E09"/>
    <w:rsid w:val="3F33629E"/>
    <w:rsid w:val="3F795693"/>
    <w:rsid w:val="3FC05E35"/>
    <w:rsid w:val="3FC25C55"/>
    <w:rsid w:val="3FF0230E"/>
    <w:rsid w:val="4001454F"/>
    <w:rsid w:val="40316936"/>
    <w:rsid w:val="40592010"/>
    <w:rsid w:val="40801F51"/>
    <w:rsid w:val="40B74C31"/>
    <w:rsid w:val="40CE5B0D"/>
    <w:rsid w:val="41313092"/>
    <w:rsid w:val="41722008"/>
    <w:rsid w:val="418B25F8"/>
    <w:rsid w:val="41955CC3"/>
    <w:rsid w:val="41A35612"/>
    <w:rsid w:val="41CF2DB6"/>
    <w:rsid w:val="42733E5C"/>
    <w:rsid w:val="42BB7262"/>
    <w:rsid w:val="43990B9B"/>
    <w:rsid w:val="43AB034D"/>
    <w:rsid w:val="441714DC"/>
    <w:rsid w:val="441E6109"/>
    <w:rsid w:val="44366C11"/>
    <w:rsid w:val="443C273B"/>
    <w:rsid w:val="45293313"/>
    <w:rsid w:val="45793847"/>
    <w:rsid w:val="4584773F"/>
    <w:rsid w:val="45C44C1B"/>
    <w:rsid w:val="461355D7"/>
    <w:rsid w:val="46222702"/>
    <w:rsid w:val="46900F3C"/>
    <w:rsid w:val="48D6451F"/>
    <w:rsid w:val="492C1346"/>
    <w:rsid w:val="497C77A7"/>
    <w:rsid w:val="49A646D8"/>
    <w:rsid w:val="4AAC5962"/>
    <w:rsid w:val="4AD5638B"/>
    <w:rsid w:val="4AE41175"/>
    <w:rsid w:val="4B3B7550"/>
    <w:rsid w:val="4BCD58DE"/>
    <w:rsid w:val="4BD869FA"/>
    <w:rsid w:val="4C1C049B"/>
    <w:rsid w:val="4C2975DE"/>
    <w:rsid w:val="4C3E4383"/>
    <w:rsid w:val="4C6D393A"/>
    <w:rsid w:val="4CEE62DB"/>
    <w:rsid w:val="4E3F7F96"/>
    <w:rsid w:val="4ED92533"/>
    <w:rsid w:val="4EFB4CDF"/>
    <w:rsid w:val="4FCE41A2"/>
    <w:rsid w:val="50016112"/>
    <w:rsid w:val="50B63DC3"/>
    <w:rsid w:val="50C2085F"/>
    <w:rsid w:val="50FA2AF8"/>
    <w:rsid w:val="5247475B"/>
    <w:rsid w:val="52BB0A0D"/>
    <w:rsid w:val="531B7F50"/>
    <w:rsid w:val="53317BA5"/>
    <w:rsid w:val="539179C0"/>
    <w:rsid w:val="53A27B34"/>
    <w:rsid w:val="53C8376B"/>
    <w:rsid w:val="543A1709"/>
    <w:rsid w:val="54812029"/>
    <w:rsid w:val="54A11E85"/>
    <w:rsid w:val="55C06979"/>
    <w:rsid w:val="55CD6DAA"/>
    <w:rsid w:val="56095F34"/>
    <w:rsid w:val="563E6C3D"/>
    <w:rsid w:val="570A7141"/>
    <w:rsid w:val="57254649"/>
    <w:rsid w:val="57626AD6"/>
    <w:rsid w:val="57701F9D"/>
    <w:rsid w:val="57DC7E06"/>
    <w:rsid w:val="58172838"/>
    <w:rsid w:val="58344B93"/>
    <w:rsid w:val="5921696A"/>
    <w:rsid w:val="594429E3"/>
    <w:rsid w:val="59710078"/>
    <w:rsid w:val="59985C57"/>
    <w:rsid w:val="59AD4E28"/>
    <w:rsid w:val="5A0723CE"/>
    <w:rsid w:val="5A600035"/>
    <w:rsid w:val="5A9D6C4B"/>
    <w:rsid w:val="5AB51E9E"/>
    <w:rsid w:val="5AC24E8A"/>
    <w:rsid w:val="5AF96DBA"/>
    <w:rsid w:val="5B811966"/>
    <w:rsid w:val="5BAF247F"/>
    <w:rsid w:val="5CC372E6"/>
    <w:rsid w:val="5CD52315"/>
    <w:rsid w:val="5CE04BE7"/>
    <w:rsid w:val="5CF34177"/>
    <w:rsid w:val="5D0436B1"/>
    <w:rsid w:val="5D310A79"/>
    <w:rsid w:val="5D732A47"/>
    <w:rsid w:val="5E7A26E9"/>
    <w:rsid w:val="5F6E51C0"/>
    <w:rsid w:val="603E7301"/>
    <w:rsid w:val="612E509E"/>
    <w:rsid w:val="614B4949"/>
    <w:rsid w:val="6154386C"/>
    <w:rsid w:val="61A24501"/>
    <w:rsid w:val="61C201EF"/>
    <w:rsid w:val="61F548AA"/>
    <w:rsid w:val="62957B21"/>
    <w:rsid w:val="62AC3AD1"/>
    <w:rsid w:val="62DE27DD"/>
    <w:rsid w:val="62F676AC"/>
    <w:rsid w:val="63411DCF"/>
    <w:rsid w:val="634265E1"/>
    <w:rsid w:val="63827325"/>
    <w:rsid w:val="638E6A57"/>
    <w:rsid w:val="63B6523C"/>
    <w:rsid w:val="6480201C"/>
    <w:rsid w:val="64DC627E"/>
    <w:rsid w:val="64E12330"/>
    <w:rsid w:val="65632D0A"/>
    <w:rsid w:val="65757CDA"/>
    <w:rsid w:val="65941228"/>
    <w:rsid w:val="66BA4EA8"/>
    <w:rsid w:val="670777F5"/>
    <w:rsid w:val="6787315C"/>
    <w:rsid w:val="67877D8E"/>
    <w:rsid w:val="67B22860"/>
    <w:rsid w:val="68F0116E"/>
    <w:rsid w:val="69D56401"/>
    <w:rsid w:val="6A254FE0"/>
    <w:rsid w:val="6A2E3D63"/>
    <w:rsid w:val="6A56269D"/>
    <w:rsid w:val="6A5847A5"/>
    <w:rsid w:val="6A8F61F9"/>
    <w:rsid w:val="6A9C7CEB"/>
    <w:rsid w:val="6B06687C"/>
    <w:rsid w:val="6B293539"/>
    <w:rsid w:val="6B924DC4"/>
    <w:rsid w:val="6BBF7EFB"/>
    <w:rsid w:val="6C122D4F"/>
    <w:rsid w:val="6C755C79"/>
    <w:rsid w:val="6CA630C4"/>
    <w:rsid w:val="6CDE0C22"/>
    <w:rsid w:val="6CF90658"/>
    <w:rsid w:val="6CFA7F2C"/>
    <w:rsid w:val="6D3F5A9E"/>
    <w:rsid w:val="6D727A37"/>
    <w:rsid w:val="6DB41A6A"/>
    <w:rsid w:val="6DFB5D0A"/>
    <w:rsid w:val="6E930639"/>
    <w:rsid w:val="6EA463A2"/>
    <w:rsid w:val="6EB760D5"/>
    <w:rsid w:val="6EFA2466"/>
    <w:rsid w:val="6FC3279B"/>
    <w:rsid w:val="70432D9F"/>
    <w:rsid w:val="70721342"/>
    <w:rsid w:val="70930912"/>
    <w:rsid w:val="70AE175A"/>
    <w:rsid w:val="70B910A4"/>
    <w:rsid w:val="70D82DCD"/>
    <w:rsid w:val="70E87D2E"/>
    <w:rsid w:val="70FF2F71"/>
    <w:rsid w:val="714D05F7"/>
    <w:rsid w:val="71662034"/>
    <w:rsid w:val="71B37574"/>
    <w:rsid w:val="71C62A77"/>
    <w:rsid w:val="72025403"/>
    <w:rsid w:val="7265409A"/>
    <w:rsid w:val="72923BED"/>
    <w:rsid w:val="72DE06C9"/>
    <w:rsid w:val="730679BB"/>
    <w:rsid w:val="73222990"/>
    <w:rsid w:val="7383365D"/>
    <w:rsid w:val="73AF593D"/>
    <w:rsid w:val="73B07964"/>
    <w:rsid w:val="73B974CA"/>
    <w:rsid w:val="73D466B7"/>
    <w:rsid w:val="74913E2D"/>
    <w:rsid w:val="749A6387"/>
    <w:rsid w:val="74AC09E2"/>
    <w:rsid w:val="74E7348C"/>
    <w:rsid w:val="758E64A5"/>
    <w:rsid w:val="75956A44"/>
    <w:rsid w:val="75B36AE5"/>
    <w:rsid w:val="761F63FC"/>
    <w:rsid w:val="76205431"/>
    <w:rsid w:val="763005C4"/>
    <w:rsid w:val="768F5B89"/>
    <w:rsid w:val="76A8099B"/>
    <w:rsid w:val="774F4C53"/>
    <w:rsid w:val="776C577D"/>
    <w:rsid w:val="77B71EFC"/>
    <w:rsid w:val="77BE6726"/>
    <w:rsid w:val="784267CE"/>
    <w:rsid w:val="78495BF5"/>
    <w:rsid w:val="78AB184D"/>
    <w:rsid w:val="78F96073"/>
    <w:rsid w:val="792D11F8"/>
    <w:rsid w:val="79604BAB"/>
    <w:rsid w:val="79EE6957"/>
    <w:rsid w:val="7A15256C"/>
    <w:rsid w:val="7A757A12"/>
    <w:rsid w:val="7A884A0F"/>
    <w:rsid w:val="7B076175"/>
    <w:rsid w:val="7B113011"/>
    <w:rsid w:val="7B3F1362"/>
    <w:rsid w:val="7B721240"/>
    <w:rsid w:val="7B7F75F4"/>
    <w:rsid w:val="7BA82B1B"/>
    <w:rsid w:val="7BB7663C"/>
    <w:rsid w:val="7BF774D7"/>
    <w:rsid w:val="7C613431"/>
    <w:rsid w:val="7C6407E6"/>
    <w:rsid w:val="7C793C80"/>
    <w:rsid w:val="7CFC55FB"/>
    <w:rsid w:val="7D3A23FC"/>
    <w:rsid w:val="7DC82133"/>
    <w:rsid w:val="7E011C07"/>
    <w:rsid w:val="7E437419"/>
    <w:rsid w:val="7E9B156F"/>
    <w:rsid w:val="7EAD12A3"/>
    <w:rsid w:val="7ED16DAE"/>
    <w:rsid w:val="7F077B28"/>
    <w:rsid w:val="7F392B36"/>
    <w:rsid w:val="7F4D13A6"/>
    <w:rsid w:val="7F5E1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7"/>
    <w:unhideWhenUsed/>
    <w:qFormat/>
    <w:uiPriority w:val="99"/>
    <w:pPr>
      <w:jc w:val="left"/>
    </w:pPr>
  </w:style>
  <w:style w:type="paragraph" w:styleId="3">
    <w:name w:val="Plain Text"/>
    <w:basedOn w:val="1"/>
    <w:qFormat/>
    <w:uiPriority w:val="99"/>
    <w:rPr>
      <w:rFonts w:ascii="宋体" w:hAnsi="Courier New" w:cs="Courier New"/>
      <w:szCs w:val="21"/>
    </w:rPr>
  </w:style>
  <w:style w:type="paragraph" w:styleId="4">
    <w:name w:val="Balloon Text"/>
    <w:basedOn w:val="1"/>
    <w:link w:val="15"/>
    <w:semiHidden/>
    <w:unhideWhenUsed/>
    <w:qFormat/>
    <w:uiPriority w:val="99"/>
    <w:rPr>
      <w:sz w:val="18"/>
      <w:szCs w:val="18"/>
    </w:rPr>
  </w:style>
  <w:style w:type="paragraph" w:styleId="5">
    <w:name w:val="footer"/>
    <w:basedOn w:val="1"/>
    <w:link w:val="13"/>
    <w:autoRedefine/>
    <w:unhideWhenUsed/>
    <w:qFormat/>
    <w:uiPriority w:val="99"/>
    <w:pPr>
      <w:tabs>
        <w:tab w:val="center" w:pos="4153"/>
        <w:tab w:val="right" w:pos="8306"/>
      </w:tabs>
      <w:snapToGrid w:val="0"/>
      <w:jc w:val="left"/>
    </w:pPr>
    <w:rPr>
      <w:sz w:val="18"/>
      <w:szCs w:val="18"/>
    </w:rPr>
  </w:style>
  <w:style w:type="paragraph" w:styleId="6">
    <w:name w:val="header"/>
    <w:basedOn w:val="1"/>
    <w:link w:val="1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2"/>
    <w:next w:val="2"/>
    <w:link w:val="18"/>
    <w:autoRedefine/>
    <w:semiHidden/>
    <w:unhideWhenUsed/>
    <w:qFormat/>
    <w:uiPriority w:val="99"/>
    <w:rPr>
      <w:b/>
      <w:bCs/>
    </w:rPr>
  </w:style>
  <w:style w:type="table" w:styleId="9">
    <w:name w:val="Table Grid"/>
    <w:basedOn w:val="8"/>
    <w:autoRedefine/>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11">
    <w:name w:val="annotation reference"/>
    <w:basedOn w:val="10"/>
    <w:autoRedefine/>
    <w:unhideWhenUsed/>
    <w:qFormat/>
    <w:uiPriority w:val="99"/>
    <w:rPr>
      <w:sz w:val="21"/>
      <w:szCs w:val="21"/>
    </w:rPr>
  </w:style>
  <w:style w:type="character" w:customStyle="1" w:styleId="12">
    <w:name w:val="页眉 字符"/>
    <w:basedOn w:val="10"/>
    <w:link w:val="6"/>
    <w:autoRedefine/>
    <w:qFormat/>
    <w:uiPriority w:val="99"/>
    <w:rPr>
      <w:sz w:val="18"/>
      <w:szCs w:val="18"/>
    </w:rPr>
  </w:style>
  <w:style w:type="character" w:customStyle="1" w:styleId="13">
    <w:name w:val="页脚 字符"/>
    <w:basedOn w:val="10"/>
    <w:link w:val="5"/>
    <w:autoRedefine/>
    <w:qFormat/>
    <w:uiPriority w:val="99"/>
    <w:rPr>
      <w:sz w:val="18"/>
      <w:szCs w:val="18"/>
    </w:rPr>
  </w:style>
  <w:style w:type="paragraph" w:customStyle="1" w:styleId="14">
    <w:name w:val="修订1"/>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15">
    <w:name w:val="批注框文本 字符"/>
    <w:basedOn w:val="10"/>
    <w:link w:val="4"/>
    <w:autoRedefine/>
    <w:semiHidden/>
    <w:qFormat/>
    <w:uiPriority w:val="99"/>
    <w:rPr>
      <w:rFonts w:ascii="Times New Roman" w:hAnsi="Times New Roman" w:eastAsia="宋体" w:cs="Times New Roman"/>
      <w:kern w:val="2"/>
      <w:sz w:val="18"/>
      <w:szCs w:val="18"/>
    </w:rPr>
  </w:style>
  <w:style w:type="paragraph" w:styleId="16">
    <w:name w:val="List Paragraph"/>
    <w:basedOn w:val="1"/>
    <w:autoRedefine/>
    <w:qFormat/>
    <w:uiPriority w:val="99"/>
    <w:pPr>
      <w:ind w:firstLine="420" w:firstLineChars="200"/>
    </w:pPr>
  </w:style>
  <w:style w:type="character" w:customStyle="1" w:styleId="17">
    <w:name w:val="批注文字 字符"/>
    <w:basedOn w:val="10"/>
    <w:link w:val="2"/>
    <w:autoRedefine/>
    <w:qFormat/>
    <w:uiPriority w:val="99"/>
    <w:rPr>
      <w:kern w:val="2"/>
      <w:sz w:val="21"/>
      <w:szCs w:val="24"/>
    </w:rPr>
  </w:style>
  <w:style w:type="character" w:customStyle="1" w:styleId="18">
    <w:name w:val="批注主题 字符"/>
    <w:basedOn w:val="17"/>
    <w:link w:val="7"/>
    <w:autoRedefine/>
    <w:semiHidden/>
    <w:qFormat/>
    <w:uiPriority w:val="99"/>
    <w:rPr>
      <w:b/>
      <w:bCs/>
      <w:kern w:val="2"/>
      <w:sz w:val="21"/>
      <w:szCs w:val="24"/>
    </w:rPr>
  </w:style>
  <w:style w:type="paragraph" w:customStyle="1" w:styleId="19">
    <w:name w:val="修订2"/>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20">
    <w:name w:val="修订3"/>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21">
    <w:name w:val="Revision"/>
    <w:autoRedefine/>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1210</Words>
  <Characters>6898</Characters>
  <Lines>57</Lines>
  <Paragraphs>16</Paragraphs>
  <TotalTime>7</TotalTime>
  <ScaleCrop>false</ScaleCrop>
  <LinksUpToDate>false</LinksUpToDate>
  <CharactersWithSpaces>8092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2023-08-23T06:28:00Z</dcterms:created>
  <dc:creator>dell</dc:creator>
  <cp:lastModifiedBy>NJ</cp:lastModifiedBy>
  <cp:lastPrinted>2021-12-31T07:54:00Z</cp:lastPrinted>
  <dcterms:modified xsi:type="dcterms:W3CDTF">2024-01-04T02:05:50Z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803811E7D4BB47BD83EC9ED4CF21D643_13</vt:lpwstr>
  </property>
</Properties>
</file>